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60DB51EF" w:rsidR="00505D4A" w:rsidRPr="0007113A" w:rsidRDefault="00360FAE" w:rsidP="0007113A">
      <w:pPr>
        <w:tabs>
          <w:tab w:val="left" w:pos="4678"/>
        </w:tabs>
        <w:spacing w:after="0" w:line="240" w:lineRule="auto"/>
        <w:ind w:left="11" w:right="0" w:hanging="11"/>
        <w:rPr>
          <w:b/>
          <w:sz w:val="22"/>
        </w:rPr>
      </w:pPr>
      <w:r w:rsidRPr="0007113A">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5E59E1">
        <w:rPr>
          <w:b/>
          <w:sz w:val="22"/>
        </w:rPr>
        <w:t xml:space="preserve"> DE YUCATÁN, EMITE EL SIGUIENTE,</w:t>
      </w:r>
    </w:p>
    <w:p w14:paraId="6B535D71" w14:textId="77777777" w:rsidR="006974AC" w:rsidRPr="0007113A" w:rsidRDefault="006974AC" w:rsidP="0007113A">
      <w:pPr>
        <w:tabs>
          <w:tab w:val="left" w:pos="4678"/>
        </w:tabs>
        <w:spacing w:after="0" w:line="240" w:lineRule="auto"/>
        <w:ind w:left="11" w:right="0" w:hanging="11"/>
        <w:rPr>
          <w:b/>
          <w:sz w:val="22"/>
        </w:rPr>
      </w:pPr>
    </w:p>
    <w:p w14:paraId="1867B55B" w14:textId="77777777" w:rsidR="0007113A" w:rsidRDefault="0007113A" w:rsidP="0007113A">
      <w:pPr>
        <w:spacing w:after="0" w:line="240" w:lineRule="auto"/>
        <w:ind w:left="0"/>
        <w:jc w:val="center"/>
        <w:rPr>
          <w:b/>
          <w:sz w:val="22"/>
        </w:rPr>
      </w:pPr>
      <w:r w:rsidRPr="0007113A">
        <w:rPr>
          <w:b/>
          <w:sz w:val="22"/>
        </w:rPr>
        <w:t>DECRETO</w:t>
      </w:r>
    </w:p>
    <w:p w14:paraId="45B3C687" w14:textId="77777777" w:rsidR="0001737D" w:rsidRPr="0007113A" w:rsidRDefault="0001737D" w:rsidP="0007113A">
      <w:pPr>
        <w:spacing w:after="0" w:line="240" w:lineRule="auto"/>
        <w:ind w:left="0"/>
        <w:jc w:val="center"/>
        <w:rPr>
          <w:b/>
          <w:sz w:val="22"/>
        </w:rPr>
      </w:pPr>
    </w:p>
    <w:p w14:paraId="74F8C7B3"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b/>
          <w:color w:val="auto"/>
          <w:szCs w:val="24"/>
          <w:lang w:eastAsia="en-US"/>
        </w:rPr>
        <w:t>Artículo primero.</w:t>
      </w:r>
      <w:r w:rsidRPr="0001737D">
        <w:rPr>
          <w:rFonts w:eastAsia="Calibri"/>
          <w:color w:val="auto"/>
          <w:szCs w:val="24"/>
          <w:lang w:eastAsia="en-US"/>
        </w:rPr>
        <w:t xml:space="preserve"> El H. Congreso del Estado de Yucatán, autoriza al Ayuntamiento del Municipio de Mérida, Yucatán, para que, </w:t>
      </w:r>
      <w:r w:rsidRPr="0001737D">
        <w:rPr>
          <w:rFonts w:eastAsia="Times New Roman"/>
          <w:color w:val="auto"/>
          <w:szCs w:val="24"/>
          <w:lang w:eastAsia="es-ES"/>
        </w:rPr>
        <w:t xml:space="preserve">por conducto del Presidente Municipal, Secretario Municipal y Síndico Municipal, asistidos de la persona titular de la Dirección de Finanzas y Tesorería Municipal, durante el presente ejercicio fiscal 2022, contrate uno o más financiamientos </w:t>
      </w:r>
      <w:r w:rsidRPr="0001737D">
        <w:rPr>
          <w:rFonts w:eastAsia="Calibri"/>
          <w:color w:val="auto"/>
          <w:szCs w:val="24"/>
          <w:lang w:eastAsia="en-US"/>
        </w:rPr>
        <w:t>de conformidad con lo siguiente:</w:t>
      </w:r>
    </w:p>
    <w:p w14:paraId="07120CDA" w14:textId="77777777" w:rsidR="0001737D" w:rsidRPr="0001737D" w:rsidRDefault="0001737D" w:rsidP="0001737D">
      <w:pPr>
        <w:spacing w:after="0" w:line="480" w:lineRule="auto"/>
        <w:ind w:left="0" w:right="0" w:firstLine="0"/>
        <w:rPr>
          <w:rFonts w:eastAsia="Calibri"/>
          <w:color w:val="auto"/>
          <w:szCs w:val="24"/>
          <w:lang w:eastAsia="en-US"/>
        </w:rPr>
      </w:pPr>
    </w:p>
    <w:p w14:paraId="5A83AD2F"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1. Autorización</w:t>
      </w:r>
    </w:p>
    <w:p w14:paraId="0897C170" w14:textId="77777777" w:rsidR="0001737D" w:rsidRPr="0001737D" w:rsidRDefault="0001737D" w:rsidP="0001737D">
      <w:pPr>
        <w:spacing w:after="0" w:line="240" w:lineRule="auto"/>
        <w:ind w:left="0" w:right="0" w:firstLine="0"/>
        <w:rPr>
          <w:rFonts w:eastAsia="Calibri"/>
          <w:color w:val="auto"/>
          <w:szCs w:val="24"/>
          <w:lang w:eastAsia="en-US"/>
        </w:rPr>
      </w:pPr>
    </w:p>
    <w:p w14:paraId="40E4A59A"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 xml:space="preserve">Con base en el análisis de la capacidad de pago del Ayuntamiento de Mérida, Yucatán, así como del destino del o los financiamientos, la situación de la deuda pública y de los recursos a otorgarse como fuente de pago, se autoriza al Ayuntamiento de Mérida para que, </w:t>
      </w:r>
      <w:r w:rsidRPr="0001737D">
        <w:rPr>
          <w:rFonts w:eastAsia="Times New Roman"/>
          <w:color w:val="auto"/>
          <w:szCs w:val="24"/>
          <w:lang w:eastAsia="es-ES"/>
        </w:rPr>
        <w:t xml:space="preserve">por conducto del Presidente Municipal, Secretario Municipal y Síndico Municipal, asistidos de la persona titular de la Dirección de Finanzas y Tesorería Municipal, durante el presente ejercicio fiscal 2022, </w:t>
      </w:r>
      <w:r w:rsidRPr="0001737D">
        <w:rPr>
          <w:rFonts w:eastAsia="Calibri"/>
          <w:color w:val="auto"/>
          <w:szCs w:val="24"/>
          <w:lang w:eastAsia="en-US"/>
        </w:rPr>
        <w:t>contrate uno o más financiamientos con instituciones de crédito de nacionalidad mexicana, por un monto de hasta $350,000,000.00 (trescientos cincuenta millones de pesos 00/100 moneda nacional), de conformidad con los artículos 4 y 5 de la Ley de Deuda Pública del Estado de Yucatán y los aplicables de la Ley de Disciplina Financiera de las Entidades Federativas y los Municipios, y su reglamentación.</w:t>
      </w:r>
    </w:p>
    <w:p w14:paraId="1EB1DC77" w14:textId="77777777" w:rsidR="0001737D" w:rsidRPr="0001737D" w:rsidRDefault="0001737D" w:rsidP="0001737D">
      <w:pPr>
        <w:spacing w:after="0" w:line="480" w:lineRule="auto"/>
        <w:ind w:left="0" w:right="0" w:firstLine="0"/>
        <w:rPr>
          <w:rFonts w:eastAsia="Calibri"/>
          <w:color w:val="auto"/>
          <w:szCs w:val="24"/>
          <w:lang w:eastAsia="en-US"/>
        </w:rPr>
      </w:pPr>
    </w:p>
    <w:p w14:paraId="28637AB4"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2. Destino</w:t>
      </w:r>
    </w:p>
    <w:p w14:paraId="0B670B15" w14:textId="77777777" w:rsidR="0001737D" w:rsidRPr="0001737D" w:rsidRDefault="0001737D" w:rsidP="0001737D">
      <w:pPr>
        <w:spacing w:after="0" w:line="240" w:lineRule="auto"/>
        <w:ind w:left="0" w:right="0" w:firstLine="0"/>
        <w:rPr>
          <w:rFonts w:eastAsia="Calibri"/>
          <w:color w:val="auto"/>
          <w:szCs w:val="24"/>
          <w:lang w:eastAsia="en-US"/>
        </w:rPr>
      </w:pPr>
    </w:p>
    <w:p w14:paraId="0B20E73E" w14:textId="77777777" w:rsid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El financiamiento que, de conformidad con este decreto, contrate el Ayuntamiento de Mérida, será destinado a inversiones públicas productivas, consistentes en la construcción, mejoramiento, rehabilitación y/o reposición de bienes de dominio público y construcción de vías de comunicación correspondientes a los siguientes rubros de gasto, conforme al clasificador por objeto de gasto emitido por el Consejo Nacional de Armonización Contable, y la definición legal de inversión público productiva:</w:t>
      </w:r>
    </w:p>
    <w:p w14:paraId="1CD40462" w14:textId="77777777" w:rsidR="0001737D" w:rsidRDefault="0001737D" w:rsidP="0001737D">
      <w:pPr>
        <w:spacing w:after="0" w:line="240" w:lineRule="auto"/>
        <w:ind w:left="0" w:right="0" w:firstLine="708"/>
        <w:rPr>
          <w:rFonts w:eastAsia="Calibri"/>
          <w:color w:val="auto"/>
          <w:szCs w:val="24"/>
          <w:lang w:eastAsia="en-US"/>
        </w:rPr>
      </w:pPr>
    </w:p>
    <w:p w14:paraId="0CB8E731" w14:textId="77777777" w:rsidR="0001737D" w:rsidRPr="0001737D" w:rsidRDefault="0001737D" w:rsidP="0001737D">
      <w:pPr>
        <w:spacing w:after="0" w:line="240" w:lineRule="auto"/>
        <w:ind w:left="0" w:right="0" w:firstLine="708"/>
        <w:rPr>
          <w:rFonts w:eastAsia="Calibri"/>
          <w:color w:val="auto"/>
          <w:szCs w:val="24"/>
          <w:lang w:eastAsia="en-US"/>
        </w:rPr>
      </w:pPr>
    </w:p>
    <w:p w14:paraId="0853FB5C" w14:textId="77777777" w:rsidR="0001737D" w:rsidRPr="0001737D" w:rsidRDefault="0001737D" w:rsidP="0001737D">
      <w:pPr>
        <w:spacing w:after="0" w:line="240" w:lineRule="auto"/>
        <w:ind w:left="0" w:right="0" w:firstLine="0"/>
        <w:rPr>
          <w:rFonts w:eastAsia="Calibri"/>
          <w:color w:val="auto"/>
          <w:szCs w:val="24"/>
          <w:lang w:eastAsia="en-US"/>
        </w:rPr>
      </w:pPr>
    </w:p>
    <w:tbl>
      <w:tblPr>
        <w:tblW w:w="5000" w:type="pct"/>
        <w:tblLayout w:type="fixed"/>
        <w:tblCellMar>
          <w:left w:w="0" w:type="dxa"/>
          <w:right w:w="0" w:type="dxa"/>
        </w:tblCellMar>
        <w:tblLook w:val="04A0" w:firstRow="1" w:lastRow="0" w:firstColumn="1" w:lastColumn="0" w:noHBand="0" w:noVBand="1"/>
      </w:tblPr>
      <w:tblGrid>
        <w:gridCol w:w="5561"/>
        <w:gridCol w:w="3392"/>
        <w:gridCol w:w="30"/>
      </w:tblGrid>
      <w:tr w:rsidR="0001737D" w:rsidRPr="0001737D" w14:paraId="2782A51B" w14:textId="77777777" w:rsidTr="00B114C3">
        <w:trPr>
          <w:trHeight w:val="231"/>
        </w:trPr>
        <w:tc>
          <w:tcPr>
            <w:tcW w:w="30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8DEB6FD" w14:textId="77777777" w:rsidR="0001737D" w:rsidRPr="0001737D" w:rsidRDefault="0001737D" w:rsidP="0001737D">
            <w:pPr>
              <w:spacing w:after="0" w:line="240" w:lineRule="auto"/>
              <w:ind w:left="0" w:right="0" w:firstLine="0"/>
              <w:rPr>
                <w:rFonts w:eastAsia="Calibri"/>
                <w:b/>
                <w:bCs/>
                <w:color w:val="auto"/>
                <w:szCs w:val="24"/>
                <w:lang w:eastAsia="en-US"/>
              </w:rPr>
            </w:pPr>
            <w:r w:rsidRPr="0001737D">
              <w:rPr>
                <w:rFonts w:eastAsia="Calibri"/>
                <w:b/>
                <w:bCs/>
                <w:color w:val="auto"/>
                <w:szCs w:val="24"/>
                <w:lang w:eastAsia="en-US"/>
              </w:rPr>
              <w:t>Rubro de Inversión</w:t>
            </w:r>
          </w:p>
        </w:tc>
        <w:tc>
          <w:tcPr>
            <w:tcW w:w="188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31ED516" w14:textId="77777777" w:rsidR="0001737D" w:rsidRPr="0001737D" w:rsidRDefault="0001737D" w:rsidP="0001737D">
            <w:pPr>
              <w:spacing w:after="0" w:line="240" w:lineRule="auto"/>
              <w:ind w:left="0" w:right="0" w:firstLine="0"/>
              <w:rPr>
                <w:rFonts w:eastAsia="Calibri"/>
                <w:b/>
                <w:bCs/>
                <w:color w:val="auto"/>
                <w:szCs w:val="24"/>
                <w:lang w:eastAsia="en-US"/>
              </w:rPr>
            </w:pPr>
            <w:r w:rsidRPr="0001737D">
              <w:rPr>
                <w:rFonts w:eastAsia="Calibri"/>
                <w:b/>
                <w:bCs/>
                <w:color w:val="auto"/>
                <w:szCs w:val="24"/>
                <w:lang w:eastAsia="en-US"/>
              </w:rPr>
              <w:t>Monto</w:t>
            </w:r>
          </w:p>
        </w:tc>
        <w:tc>
          <w:tcPr>
            <w:tcW w:w="16" w:type="pct"/>
            <w:vAlign w:val="center"/>
            <w:hideMark/>
          </w:tcPr>
          <w:p w14:paraId="40E18A47" w14:textId="77777777" w:rsidR="0001737D" w:rsidRPr="0001737D" w:rsidRDefault="0001737D" w:rsidP="0001737D">
            <w:pPr>
              <w:spacing w:after="0" w:line="240" w:lineRule="auto"/>
              <w:ind w:left="0" w:right="0" w:firstLine="0"/>
              <w:rPr>
                <w:rFonts w:eastAsia="Calibri"/>
                <w:b/>
                <w:bCs/>
                <w:color w:val="auto"/>
                <w:szCs w:val="24"/>
                <w:lang w:eastAsia="en-US"/>
              </w:rPr>
            </w:pPr>
          </w:p>
        </w:tc>
      </w:tr>
      <w:tr w:rsidR="0001737D" w:rsidRPr="0001737D" w14:paraId="495039E5" w14:textId="77777777" w:rsidTr="00B114C3">
        <w:trPr>
          <w:trHeight w:val="592"/>
        </w:trPr>
        <w:tc>
          <w:tcPr>
            <w:tcW w:w="3096"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5A04B215" w14:textId="77777777" w:rsidR="0001737D" w:rsidRPr="0001737D" w:rsidRDefault="0001737D" w:rsidP="0001737D">
            <w:pPr>
              <w:spacing w:after="0" w:line="240" w:lineRule="auto"/>
              <w:ind w:left="0" w:right="0" w:firstLine="0"/>
              <w:rPr>
                <w:rFonts w:eastAsia="Calibri"/>
                <w:b/>
                <w:bCs/>
                <w:color w:val="auto"/>
                <w:szCs w:val="24"/>
                <w:lang w:eastAsia="en-US"/>
              </w:rPr>
            </w:pPr>
            <w:r w:rsidRPr="0001737D">
              <w:rPr>
                <w:rFonts w:eastAsia="Calibri"/>
                <w:b/>
                <w:bCs/>
                <w:color w:val="auto"/>
                <w:szCs w:val="24"/>
                <w:lang w:eastAsia="en-US"/>
              </w:rPr>
              <w:t>6000 INVERSIÓN PÚBLICA</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AF17"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 </w:t>
            </w:r>
          </w:p>
        </w:tc>
        <w:tc>
          <w:tcPr>
            <w:tcW w:w="16" w:type="pct"/>
            <w:vAlign w:val="center"/>
            <w:hideMark/>
          </w:tcPr>
          <w:p w14:paraId="43B9C891" w14:textId="77777777" w:rsidR="0001737D" w:rsidRPr="0001737D" w:rsidRDefault="0001737D" w:rsidP="0001737D">
            <w:pPr>
              <w:spacing w:after="0" w:line="240" w:lineRule="auto"/>
              <w:ind w:left="0" w:right="0" w:firstLine="0"/>
              <w:rPr>
                <w:rFonts w:eastAsia="Calibri"/>
                <w:color w:val="auto"/>
                <w:szCs w:val="24"/>
                <w:lang w:eastAsia="en-US"/>
              </w:rPr>
            </w:pPr>
          </w:p>
        </w:tc>
      </w:tr>
      <w:tr w:rsidR="0001737D" w:rsidRPr="0001737D" w14:paraId="064D4F93" w14:textId="77777777" w:rsidTr="00B114C3">
        <w:trPr>
          <w:trHeight w:val="231"/>
        </w:trPr>
        <w:tc>
          <w:tcPr>
            <w:tcW w:w="3096"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25C9D59E" w14:textId="77777777" w:rsidR="0001737D" w:rsidRPr="0001737D" w:rsidRDefault="0001737D" w:rsidP="0001737D">
            <w:pPr>
              <w:spacing w:after="0" w:line="240" w:lineRule="auto"/>
              <w:ind w:left="0" w:right="0" w:firstLine="0"/>
              <w:rPr>
                <w:rFonts w:eastAsia="Calibri"/>
                <w:b/>
                <w:bCs/>
                <w:color w:val="auto"/>
                <w:szCs w:val="24"/>
                <w:lang w:eastAsia="en-US"/>
              </w:rPr>
            </w:pPr>
            <w:r w:rsidRPr="0001737D">
              <w:rPr>
                <w:rFonts w:eastAsia="Calibri"/>
                <w:b/>
                <w:bCs/>
                <w:color w:val="auto"/>
                <w:szCs w:val="24"/>
                <w:lang w:eastAsia="en-US"/>
              </w:rPr>
              <w:t>   6100 OBRA PÚBLICA EN BIENES DE DOMINIO PÚBLICO</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14D68E" w14:textId="77777777" w:rsidR="0001737D" w:rsidRPr="0001737D" w:rsidRDefault="0001737D" w:rsidP="0001737D">
            <w:pPr>
              <w:spacing w:after="0" w:line="240" w:lineRule="auto"/>
              <w:ind w:left="0" w:right="0" w:firstLine="0"/>
              <w:rPr>
                <w:rFonts w:eastAsia="Calibri"/>
                <w:b/>
                <w:bCs/>
                <w:color w:val="auto"/>
                <w:szCs w:val="24"/>
                <w:lang w:eastAsia="en-US"/>
              </w:rPr>
            </w:pPr>
            <w:r w:rsidRPr="0001737D">
              <w:rPr>
                <w:rFonts w:eastAsia="Calibri"/>
                <w:b/>
                <w:bCs/>
                <w:color w:val="auto"/>
                <w:szCs w:val="24"/>
                <w:lang w:eastAsia="en-US"/>
              </w:rPr>
              <w:t xml:space="preserve">                  350,000,000.00 </w:t>
            </w:r>
          </w:p>
        </w:tc>
        <w:tc>
          <w:tcPr>
            <w:tcW w:w="16" w:type="pct"/>
            <w:vAlign w:val="center"/>
            <w:hideMark/>
          </w:tcPr>
          <w:p w14:paraId="7977DC5A" w14:textId="77777777" w:rsidR="0001737D" w:rsidRPr="0001737D" w:rsidRDefault="0001737D" w:rsidP="0001737D">
            <w:pPr>
              <w:spacing w:after="0" w:line="240" w:lineRule="auto"/>
              <w:ind w:left="0" w:right="0" w:firstLine="0"/>
              <w:rPr>
                <w:rFonts w:eastAsia="Calibri"/>
                <w:b/>
                <w:bCs/>
                <w:color w:val="auto"/>
                <w:szCs w:val="24"/>
                <w:lang w:eastAsia="en-US"/>
              </w:rPr>
            </w:pPr>
          </w:p>
        </w:tc>
      </w:tr>
      <w:tr w:rsidR="0001737D" w:rsidRPr="0001737D" w14:paraId="4D6B71F4" w14:textId="77777777" w:rsidTr="00B114C3">
        <w:trPr>
          <w:trHeight w:val="231"/>
        </w:trPr>
        <w:tc>
          <w:tcPr>
            <w:tcW w:w="309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F27D03"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 xml:space="preserve">           612 Edificación no habitacional</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7B2C84A"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55,000,000.00</w:t>
            </w:r>
          </w:p>
        </w:tc>
        <w:tc>
          <w:tcPr>
            <w:tcW w:w="16" w:type="pct"/>
            <w:vAlign w:val="center"/>
          </w:tcPr>
          <w:p w14:paraId="40BA7D73" w14:textId="77777777" w:rsidR="0001737D" w:rsidRPr="0001737D" w:rsidRDefault="0001737D" w:rsidP="0001737D">
            <w:pPr>
              <w:spacing w:after="0" w:line="240" w:lineRule="auto"/>
              <w:ind w:left="0" w:right="0" w:firstLine="0"/>
              <w:rPr>
                <w:rFonts w:eastAsia="Calibri"/>
                <w:color w:val="auto"/>
                <w:szCs w:val="24"/>
                <w:lang w:eastAsia="en-US"/>
              </w:rPr>
            </w:pPr>
          </w:p>
        </w:tc>
      </w:tr>
      <w:tr w:rsidR="0001737D" w:rsidRPr="0001737D" w14:paraId="279A1255" w14:textId="77777777" w:rsidTr="00B114C3">
        <w:trPr>
          <w:trHeight w:val="231"/>
        </w:trPr>
        <w:tc>
          <w:tcPr>
            <w:tcW w:w="309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DFF7AEE"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 xml:space="preserve">           615 Construcción de vías de comunicación</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1BB568"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295,000,000.00</w:t>
            </w:r>
          </w:p>
        </w:tc>
        <w:tc>
          <w:tcPr>
            <w:tcW w:w="16" w:type="pct"/>
            <w:vAlign w:val="center"/>
          </w:tcPr>
          <w:p w14:paraId="6B0B326B" w14:textId="77777777" w:rsidR="0001737D" w:rsidRPr="0001737D" w:rsidRDefault="0001737D" w:rsidP="0001737D">
            <w:pPr>
              <w:spacing w:after="0" w:line="240" w:lineRule="auto"/>
              <w:ind w:left="0" w:right="0" w:firstLine="0"/>
              <w:rPr>
                <w:rFonts w:eastAsia="Calibri"/>
                <w:color w:val="auto"/>
                <w:szCs w:val="24"/>
                <w:lang w:eastAsia="en-US"/>
              </w:rPr>
            </w:pPr>
          </w:p>
        </w:tc>
      </w:tr>
    </w:tbl>
    <w:p w14:paraId="5CBE0A3D" w14:textId="77777777" w:rsidR="0001737D" w:rsidRPr="0001737D" w:rsidRDefault="0001737D" w:rsidP="0001737D">
      <w:pPr>
        <w:spacing w:after="0" w:line="240" w:lineRule="auto"/>
        <w:ind w:left="0" w:right="0" w:firstLine="0"/>
        <w:rPr>
          <w:rFonts w:eastAsia="Calibri"/>
          <w:i/>
          <w:color w:val="auto"/>
          <w:szCs w:val="24"/>
          <w:lang w:eastAsia="en-US"/>
        </w:rPr>
      </w:pPr>
    </w:p>
    <w:p w14:paraId="019BAB51" w14:textId="77777777" w:rsidR="0001737D" w:rsidRPr="0001737D" w:rsidRDefault="0001737D" w:rsidP="0001737D">
      <w:pPr>
        <w:spacing w:after="0" w:line="240" w:lineRule="auto"/>
        <w:ind w:left="0" w:right="0" w:firstLine="708"/>
        <w:rPr>
          <w:rFonts w:eastAsia="Calibri"/>
          <w:color w:val="auto"/>
          <w:szCs w:val="24"/>
          <w:lang w:val="es-ES" w:eastAsia="en-US"/>
        </w:rPr>
      </w:pPr>
      <w:r w:rsidRPr="0001737D">
        <w:rPr>
          <w:rFonts w:eastAsia="Calibri"/>
          <w:color w:val="auto"/>
          <w:szCs w:val="24"/>
          <w:lang w:val="es-ES" w:eastAsia="en-US"/>
        </w:rPr>
        <w:t xml:space="preserve">El desglose o especificación de las obras, proyectos o acciones de inversión podrán quedar establecidas en los instrumentos jurídicos que se celebren con base en la presente autorización. </w:t>
      </w:r>
    </w:p>
    <w:p w14:paraId="4C07FE25" w14:textId="77777777" w:rsidR="0001737D" w:rsidRPr="0001737D" w:rsidRDefault="0001737D" w:rsidP="0001737D">
      <w:pPr>
        <w:spacing w:after="0" w:line="240" w:lineRule="auto"/>
        <w:ind w:left="0" w:right="0" w:firstLine="0"/>
        <w:rPr>
          <w:rFonts w:eastAsia="Calibri"/>
          <w:iCs/>
          <w:color w:val="auto"/>
          <w:szCs w:val="24"/>
          <w:lang w:eastAsia="en-US"/>
        </w:rPr>
      </w:pPr>
    </w:p>
    <w:p w14:paraId="69ADA25D" w14:textId="77777777" w:rsidR="0001737D" w:rsidRPr="0001737D" w:rsidRDefault="0001737D" w:rsidP="0001737D">
      <w:pPr>
        <w:spacing w:after="0" w:line="240" w:lineRule="auto"/>
        <w:ind w:left="0" w:right="0" w:firstLine="708"/>
        <w:rPr>
          <w:rFonts w:eastAsia="Calibri"/>
          <w:iCs/>
          <w:color w:val="auto"/>
          <w:szCs w:val="24"/>
          <w:lang w:eastAsia="en-US"/>
        </w:rPr>
      </w:pPr>
      <w:r w:rsidRPr="0001737D">
        <w:rPr>
          <w:rFonts w:eastAsia="Calibri"/>
          <w:iCs/>
          <w:color w:val="auto"/>
          <w:szCs w:val="24"/>
          <w:lang w:eastAsia="en-US"/>
        </w:rPr>
        <w:t xml:space="preserve">De conformidad con lo previsto por el artículo 22 de </w:t>
      </w:r>
      <w:r w:rsidRPr="0001737D">
        <w:rPr>
          <w:rFonts w:eastAsia="Calibri"/>
          <w:color w:val="auto"/>
          <w:szCs w:val="24"/>
          <w:lang w:eastAsia="en-US"/>
        </w:rPr>
        <w:t>la Ley de Disciplina Financiera de las Entidades Federativas y los Municipios</w:t>
      </w:r>
      <w:r w:rsidRPr="0001737D">
        <w:rPr>
          <w:rFonts w:eastAsia="Calibri"/>
          <w:iCs/>
          <w:color w:val="auto"/>
          <w:szCs w:val="24"/>
          <w:lang w:eastAsia="en-US"/>
        </w:rPr>
        <w:t>, dentro del monto total autorizado, el Municipio podrá destinar las cantidades necesarias para la constitución del o de los Fondos de Reserva necesarios y hasta un 0.15% (cero punto quince) por ciento, a cubrir Gastos y Costos de Contratación.</w:t>
      </w:r>
    </w:p>
    <w:p w14:paraId="453AB5AF" w14:textId="77777777" w:rsidR="0001737D" w:rsidRPr="0001737D" w:rsidRDefault="0001737D" w:rsidP="0001737D">
      <w:pPr>
        <w:spacing w:after="0" w:line="480" w:lineRule="auto"/>
        <w:ind w:left="0" w:right="0" w:firstLine="0"/>
        <w:rPr>
          <w:rFonts w:eastAsia="Calibri"/>
          <w:iCs/>
          <w:color w:val="auto"/>
          <w:szCs w:val="24"/>
          <w:lang w:eastAsia="en-US"/>
        </w:rPr>
      </w:pPr>
    </w:p>
    <w:p w14:paraId="7858C3A0"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3. Fuente de pago</w:t>
      </w:r>
    </w:p>
    <w:p w14:paraId="0055D527" w14:textId="77777777" w:rsidR="0001737D" w:rsidRPr="0001737D" w:rsidRDefault="0001737D" w:rsidP="0001737D">
      <w:pPr>
        <w:spacing w:after="0" w:line="240" w:lineRule="auto"/>
        <w:ind w:left="0" w:right="0" w:firstLine="0"/>
        <w:rPr>
          <w:rFonts w:eastAsia="Calibri"/>
          <w:color w:val="auto"/>
          <w:szCs w:val="24"/>
          <w:lang w:eastAsia="en-US"/>
        </w:rPr>
      </w:pPr>
    </w:p>
    <w:p w14:paraId="77DEEEBD"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Se autoriza al Ayuntamiento de Mérida, Yucatán, para que por conducto del Presidente Municipal, Secretario Municipal</w:t>
      </w:r>
      <w:r w:rsidRPr="0001737D" w:rsidDel="00AE1DBE">
        <w:rPr>
          <w:rFonts w:eastAsia="Calibri"/>
          <w:color w:val="auto"/>
          <w:szCs w:val="24"/>
          <w:lang w:eastAsia="en-US"/>
        </w:rPr>
        <w:t xml:space="preserve"> </w:t>
      </w:r>
      <w:r w:rsidRPr="0001737D">
        <w:rPr>
          <w:rFonts w:eastAsia="Calibri"/>
          <w:color w:val="auto"/>
          <w:szCs w:val="24"/>
          <w:lang w:eastAsia="en-US"/>
        </w:rPr>
        <w:t xml:space="preserve">y Síndico Municipal, </w:t>
      </w:r>
      <w:r w:rsidRPr="0001737D">
        <w:rPr>
          <w:rFonts w:eastAsia="Times New Roman"/>
          <w:color w:val="auto"/>
          <w:szCs w:val="24"/>
          <w:lang w:eastAsia="es-ES"/>
        </w:rPr>
        <w:t>asistidos de la persona titular de la Dirección de Finanzas y Tesorería Municipal</w:t>
      </w:r>
      <w:r w:rsidRPr="0001737D">
        <w:rPr>
          <w:rFonts w:eastAsia="Calibri"/>
          <w:color w:val="auto"/>
          <w:szCs w:val="24"/>
          <w:lang w:eastAsia="en-US"/>
        </w:rPr>
        <w:t>, como fideicomitente único del Municipio, afecte, irrevocablemente, como fuente de pago o garantía de las obligaciones que deriven del o los financiamientos que contrate con fundamento en el presente decreto, incluidos el pago de capital, intereses, comisiones, accesorios y cualquier otro concepto que le aplique al financiamiento de que se trate, el derecho y los ingresos a percibir un porcentaje de los ingresos que le correspondan al Municipio del Fondo General de Participaciones (parte del Ramo 28), afectación que comprende el derecho a recibir los flujos de recursos que de las participaciones en ingresos federales presentes y futuras le correspondan, así como los ingresos que los sustituyan o complementen, en términos de la legislación aplicable; en la inteligencia que la afectación que realice el Municipio tendrá el carácter de irrevocable y surtirá efecto hasta en tanto se encuentren vigentes los financiamientos contratados o existan obligaciones o cantidades pendientes de pago.</w:t>
      </w:r>
    </w:p>
    <w:p w14:paraId="3E79C3FE" w14:textId="77777777" w:rsidR="0001737D" w:rsidRDefault="0001737D" w:rsidP="0001737D">
      <w:pPr>
        <w:spacing w:after="0" w:line="480" w:lineRule="auto"/>
        <w:ind w:left="0" w:right="0" w:firstLine="0"/>
        <w:rPr>
          <w:rFonts w:eastAsia="Calibri"/>
          <w:color w:val="auto"/>
          <w:szCs w:val="24"/>
          <w:lang w:eastAsia="en-US"/>
        </w:rPr>
      </w:pPr>
    </w:p>
    <w:p w14:paraId="2C89F022" w14:textId="77777777" w:rsidR="0001737D" w:rsidRPr="0001737D" w:rsidRDefault="0001737D" w:rsidP="0001737D">
      <w:pPr>
        <w:spacing w:after="0" w:line="480" w:lineRule="auto"/>
        <w:ind w:left="0" w:right="0" w:firstLine="0"/>
        <w:rPr>
          <w:rFonts w:eastAsia="Calibri"/>
          <w:color w:val="auto"/>
          <w:szCs w:val="24"/>
          <w:lang w:eastAsia="en-US"/>
        </w:rPr>
      </w:pPr>
    </w:p>
    <w:p w14:paraId="6060CEBF"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bCs/>
          <w:color w:val="auto"/>
          <w:szCs w:val="24"/>
          <w:lang w:eastAsia="en-US"/>
        </w:rPr>
        <w:t xml:space="preserve">La afectación anterior se realizará a través de la </w:t>
      </w:r>
      <w:r w:rsidRPr="0001737D">
        <w:rPr>
          <w:rFonts w:eastAsia="Calibri"/>
          <w:color w:val="auto"/>
          <w:szCs w:val="24"/>
          <w:lang w:eastAsia="en-US"/>
        </w:rPr>
        <w:t>celebración del contrato de Fideicomiso Irrevocable de Administración y Pago, con la institución fiduciaria de su elección; fideicomiso que no será considerado fideicomiso público paramunicipal y no formará parte de la Administración Pública Paramunicipal.</w:t>
      </w:r>
    </w:p>
    <w:p w14:paraId="7CE86FAB" w14:textId="77777777" w:rsidR="0001737D" w:rsidRPr="0001737D" w:rsidRDefault="0001737D" w:rsidP="0001737D">
      <w:pPr>
        <w:spacing w:after="0" w:line="240" w:lineRule="auto"/>
        <w:ind w:left="0" w:right="0" w:firstLine="0"/>
        <w:rPr>
          <w:rFonts w:eastAsia="Calibri"/>
          <w:color w:val="auto"/>
          <w:szCs w:val="24"/>
          <w:lang w:eastAsia="en-US"/>
        </w:rPr>
      </w:pPr>
    </w:p>
    <w:p w14:paraId="7C10DDBE"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 xml:space="preserve">Asimismo, se autoriza al Municipio para que, por conducto del Presidente Municipal, Secretario Municipal y Síndico Municipal, </w:t>
      </w:r>
      <w:r w:rsidRPr="0001737D">
        <w:rPr>
          <w:rFonts w:eastAsia="Times New Roman"/>
          <w:color w:val="auto"/>
          <w:szCs w:val="24"/>
          <w:lang w:eastAsia="es-ES"/>
        </w:rPr>
        <w:t>asistidos de la persona titular de la Dirección de Finanzas y Tesorería Municipal</w:t>
      </w:r>
      <w:r w:rsidRPr="0001737D">
        <w:rPr>
          <w:rFonts w:eastAsia="Calibri"/>
          <w:color w:val="auto"/>
          <w:szCs w:val="24"/>
          <w:lang w:eastAsia="en-US"/>
        </w:rPr>
        <w:t>, notifique e instruya irrevocablemente a la Secretaría de Administración y Finanzas del Estado de Yucatán, a fin de que los recursos que procedan de las participaciones del Fondo General de Participaciones, en el porcentaje afecto al patrimonio del mismo como fuente de pago de los empréstitos autorizados, se abonen de tiempo en tiempo a las cuentas del Fideicomiso que le indique la institución fiduciaria que lo administre.</w:t>
      </w:r>
    </w:p>
    <w:p w14:paraId="2E17AE25" w14:textId="77777777" w:rsidR="0001737D" w:rsidRPr="0001737D" w:rsidRDefault="0001737D" w:rsidP="0001737D">
      <w:pPr>
        <w:spacing w:after="0" w:line="240" w:lineRule="auto"/>
        <w:ind w:left="0" w:right="0" w:firstLine="0"/>
        <w:rPr>
          <w:rFonts w:eastAsia="Calibri"/>
          <w:color w:val="auto"/>
          <w:szCs w:val="24"/>
          <w:lang w:eastAsia="en-US"/>
        </w:rPr>
      </w:pPr>
    </w:p>
    <w:p w14:paraId="5D809F7A"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El Municipio deberá abstenerse de realizar cualquier acción tendiente a revertir la afectación del derecho a recibir los flujos de recursos que deriven de las participaciones presentes y futuras que en ingresos federales le correspondan, particularmente del Fondo General de Participaciones, en términos de lo que dispone la Ley de Coordinación Fiscal y/o en términos de la legislación aplicable y que otorgue como fuente de pago del o los  financiamientos o de las coberturas o instrumentos derivados previstos en el Artículo Cuarto, que contrate con base en la presente autorización, en tanto existan adeudos a su cargo que deriven de los mismos; en tal virtud, la revocación de la afectación únicamente procederá cuando el Municipio cuente con autorización previa y por escrito emitida por funcionario(s) legalmente facultado(s) para representar a la institución acreditante.</w:t>
      </w:r>
    </w:p>
    <w:p w14:paraId="2A72E396" w14:textId="77777777" w:rsidR="0001737D" w:rsidRPr="0001737D" w:rsidRDefault="0001737D" w:rsidP="0001737D">
      <w:pPr>
        <w:spacing w:after="0" w:line="480" w:lineRule="auto"/>
        <w:ind w:left="0" w:right="0" w:firstLine="0"/>
        <w:rPr>
          <w:rFonts w:eastAsia="Calibri"/>
          <w:color w:val="auto"/>
          <w:szCs w:val="24"/>
          <w:lang w:eastAsia="en-US"/>
        </w:rPr>
      </w:pPr>
    </w:p>
    <w:p w14:paraId="1491CA49"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4. Plazo máximo de pago</w:t>
      </w:r>
    </w:p>
    <w:p w14:paraId="380A0F5D" w14:textId="77777777" w:rsidR="0001737D" w:rsidRPr="0001737D" w:rsidRDefault="0001737D" w:rsidP="0001737D">
      <w:pPr>
        <w:spacing w:after="0" w:line="240" w:lineRule="auto"/>
        <w:ind w:left="0" w:right="0" w:firstLine="0"/>
        <w:rPr>
          <w:rFonts w:eastAsia="Calibri"/>
          <w:color w:val="auto"/>
          <w:szCs w:val="24"/>
          <w:lang w:eastAsia="en-US"/>
        </w:rPr>
      </w:pPr>
    </w:p>
    <w:p w14:paraId="74FC2924"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Se autoriza al Ayuntamiento de Mérida para que el financiamiento a que se refiere este decreto se amortice en su totalidad en un plazo que no exceda de quince años, 180 (ciento ochenta) meses o su equivalente en días, contados a partir de su formalización o de que se ejerza la primera disposición del crédito respectivo.</w:t>
      </w:r>
    </w:p>
    <w:p w14:paraId="08C3396D" w14:textId="77777777" w:rsidR="0001737D" w:rsidRPr="0001737D" w:rsidRDefault="0001737D" w:rsidP="0001737D">
      <w:pPr>
        <w:spacing w:after="0" w:line="240" w:lineRule="auto"/>
        <w:ind w:left="0" w:right="0" w:firstLine="0"/>
        <w:rPr>
          <w:rFonts w:eastAsia="Calibri"/>
          <w:color w:val="auto"/>
          <w:szCs w:val="24"/>
          <w:lang w:eastAsia="en-US"/>
        </w:rPr>
      </w:pPr>
    </w:p>
    <w:p w14:paraId="447EBB14"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En el entendido que: los contratos que al efecto se celebren, deberán precisar el plazo máximo en días y una fecha específica para el vencimiento del financiamiento de que se trate, en el supuesto de que los instrumentos jurídicos originales no tuvieran esa precisión, y los demás plazos, intereses, comisiones, términos y condiciones serán los que se establezcan en los instrumentos jurídicos que al efecto se celebren.</w:t>
      </w:r>
    </w:p>
    <w:p w14:paraId="4CDBB5BF" w14:textId="77777777" w:rsidR="0001737D" w:rsidRPr="0001737D" w:rsidRDefault="0001737D" w:rsidP="0001737D">
      <w:pPr>
        <w:spacing w:after="0" w:line="240" w:lineRule="auto"/>
        <w:ind w:left="0" w:right="0" w:firstLine="0"/>
        <w:rPr>
          <w:rFonts w:eastAsia="Calibri"/>
          <w:color w:val="auto"/>
          <w:szCs w:val="24"/>
          <w:lang w:eastAsia="en-US"/>
        </w:rPr>
      </w:pPr>
    </w:p>
    <w:p w14:paraId="23D8452B"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El monto total de endeudamiento neto autorizado será contraído con la o las Instituciones de Crédito del Sistema Financiero Mexicano, que ofrezcan las mejores condiciones de mercado, de conformidad con el o los procesos competitivos que para tal efecto se instrumenten y podrá ejercerse en un periodo de disposición de hasta 12 (doce) meses contado a partir de su celebración.</w:t>
      </w:r>
    </w:p>
    <w:p w14:paraId="3AE241DC" w14:textId="77777777" w:rsidR="0001737D" w:rsidRPr="0001737D" w:rsidRDefault="0001737D" w:rsidP="0001737D">
      <w:pPr>
        <w:spacing w:after="0" w:line="240" w:lineRule="auto"/>
        <w:ind w:left="0" w:right="0" w:firstLine="708"/>
        <w:rPr>
          <w:rFonts w:eastAsia="Calibri"/>
          <w:color w:val="auto"/>
          <w:szCs w:val="24"/>
          <w:lang w:eastAsia="en-US"/>
        </w:rPr>
      </w:pPr>
    </w:p>
    <w:p w14:paraId="15057A74"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5. Instrumentos jurídicos</w:t>
      </w:r>
    </w:p>
    <w:p w14:paraId="0E376C57" w14:textId="77777777" w:rsidR="0001737D" w:rsidRPr="0001737D" w:rsidRDefault="0001737D" w:rsidP="0001737D">
      <w:pPr>
        <w:spacing w:after="0" w:line="240" w:lineRule="auto"/>
        <w:ind w:left="0" w:right="0" w:firstLine="0"/>
        <w:rPr>
          <w:rFonts w:eastAsia="Calibri"/>
          <w:color w:val="auto"/>
          <w:szCs w:val="24"/>
          <w:lang w:eastAsia="en-US"/>
        </w:rPr>
      </w:pPr>
    </w:p>
    <w:p w14:paraId="7F4401EB" w14:textId="77777777" w:rsidR="0001737D" w:rsidRPr="0001737D" w:rsidRDefault="0001737D" w:rsidP="0001737D">
      <w:pPr>
        <w:spacing w:after="0" w:line="240" w:lineRule="auto"/>
        <w:ind w:left="0" w:right="0" w:firstLine="708"/>
        <w:rPr>
          <w:rFonts w:eastAsia="Calibri"/>
          <w:color w:val="auto"/>
          <w:szCs w:val="24"/>
          <w:lang w:val="es-ES" w:eastAsia="en-US"/>
        </w:rPr>
      </w:pPr>
      <w:r w:rsidRPr="0001737D">
        <w:rPr>
          <w:rFonts w:eastAsia="Calibri"/>
          <w:color w:val="auto"/>
          <w:szCs w:val="24"/>
          <w:lang w:val="es-ES" w:eastAsia="en-US"/>
        </w:rPr>
        <w:t xml:space="preserve">Se autoriza al </w:t>
      </w:r>
      <w:r w:rsidRPr="0001737D">
        <w:rPr>
          <w:rFonts w:eastAsia="Calibri"/>
          <w:color w:val="auto"/>
          <w:szCs w:val="24"/>
          <w:lang w:eastAsia="en-US"/>
        </w:rPr>
        <w:t>Ayuntamiento de Mérida, Yucatán</w:t>
      </w:r>
      <w:r w:rsidRPr="0001737D">
        <w:rPr>
          <w:rFonts w:eastAsia="Calibri"/>
          <w:color w:val="auto"/>
          <w:szCs w:val="24"/>
          <w:lang w:val="es-ES" w:eastAsia="en-US"/>
        </w:rPr>
        <w:t xml:space="preserve"> para que durante la vigencia del o los financiamientos o créditos contratados con fundamento en el presente Decreto, por conducto del Presidente Municipal, Secretario Municipal y Síndico Municipal, </w:t>
      </w:r>
      <w:r w:rsidRPr="0001737D">
        <w:rPr>
          <w:rFonts w:eastAsia="Times New Roman"/>
          <w:color w:val="auto"/>
          <w:szCs w:val="24"/>
          <w:lang w:eastAsia="es-ES"/>
        </w:rPr>
        <w:t>asistidos de la persona titular de la Dirección de Finanzas y Tesorería Municipal</w:t>
      </w:r>
      <w:r w:rsidRPr="0001737D">
        <w:rPr>
          <w:rFonts w:eastAsia="Calibri"/>
          <w:color w:val="auto"/>
          <w:szCs w:val="24"/>
          <w:lang w:val="es-ES" w:eastAsia="en-US"/>
        </w:rPr>
        <w:t xml:space="preserve">, contrate uno o más instrumentos derivados (contratos de cobertura tasa o intercambio de tasas, bajo las modalidades que se estimen más convenientes conforme a las actuales condiciones de mercado, incluyendo de manera enunciativa más no limitativa, swaps bonificado, </w:t>
      </w:r>
      <w:proofErr w:type="spellStart"/>
      <w:r w:rsidRPr="0001737D">
        <w:rPr>
          <w:rFonts w:eastAsia="Calibri"/>
          <w:color w:val="auto"/>
          <w:szCs w:val="24"/>
          <w:lang w:val="es-ES" w:eastAsia="en-US"/>
        </w:rPr>
        <w:t>collars</w:t>
      </w:r>
      <w:proofErr w:type="spellEnd"/>
      <w:r w:rsidRPr="0001737D">
        <w:rPr>
          <w:rFonts w:eastAsia="Calibri"/>
          <w:color w:val="auto"/>
          <w:szCs w:val="24"/>
          <w:lang w:val="es-ES" w:eastAsia="en-US"/>
        </w:rPr>
        <w:t>, CAP Spread o límites superiores o inferiores de riesgo), para efecto de cubrir riesgos de mercado relacionados con la tasa de referencia pactada en el o los financiamientos contratados y hasta por el total del saldo insoluto de estos últimos; instrumentos derivados o de cobertura que, en su caso, tendrán como fuente de pago los mismos ingresos asignados como fuente de pago al financiamiento objeto de cobertura y para ello podrán ser inscritos en el mecanismo de pago respectivo. Los instrumentos derivados se podrán contratar hasta por un plazo 60 (sesenta) meses a partir de su celebración y podrán renovarse durante la vigencia del financiamiento objeto de cobertura, en cumplimiento de las obligaciones del Municipio frente al acreedor respectivo.</w:t>
      </w:r>
    </w:p>
    <w:p w14:paraId="6F0A9D0A" w14:textId="77777777" w:rsidR="0001737D" w:rsidRPr="0001737D" w:rsidRDefault="0001737D" w:rsidP="0001737D">
      <w:pPr>
        <w:spacing w:after="0" w:line="240" w:lineRule="auto"/>
        <w:ind w:left="0" w:right="0" w:firstLine="0"/>
        <w:rPr>
          <w:rFonts w:eastAsia="Calibri"/>
          <w:color w:val="auto"/>
          <w:szCs w:val="24"/>
          <w:lang w:eastAsia="en-US"/>
        </w:rPr>
      </w:pPr>
    </w:p>
    <w:p w14:paraId="05376E77"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 xml:space="preserve">Asimismo, se autoriza al Ayuntamiento de Mérida, Yucatán, para que, por conducto del Presidente Municipal, Secretario Municipal y Síndico Municipal, </w:t>
      </w:r>
      <w:r w:rsidRPr="0001737D">
        <w:rPr>
          <w:rFonts w:eastAsia="Times New Roman"/>
          <w:color w:val="auto"/>
          <w:szCs w:val="24"/>
          <w:lang w:eastAsia="es-ES"/>
        </w:rPr>
        <w:t>asistidos de la persona titular de la Dirección de Finanzas y Tesorería Municipal</w:t>
      </w:r>
      <w:r w:rsidRPr="0001737D">
        <w:rPr>
          <w:rFonts w:eastAsia="Calibri"/>
          <w:color w:val="auto"/>
          <w:szCs w:val="24"/>
          <w:lang w:eastAsia="en-US"/>
        </w:rPr>
        <w:t>: celebre el o (los) contrato(s) con el objeto de formalizar los financiamientos y actos autorizados en los artículos anteriores suscriban uno o más contratos de apertura de crédito y los documentos complementarios necesarios, tales como pagarés o títulos de crédito que documenten la disposición de los recursos y, en general, cualquier convenio, instrumento, documento o acto jurídico que se requiera para que, con base en los resultados del o los procesos competitivos que se realicen en términos del artículo 26 de la Ley de Disciplina Financiera de las Entidades Federativas y Municipios, otorgándoles para tal efecto facultades generales para celebrar actos de dominio, de administración, de pleitos y cobranzas y cualquier facultad especial que se requiera, incluyendo la de suscripción de títulos y operaciones de crédito.</w:t>
      </w:r>
    </w:p>
    <w:p w14:paraId="3A957903" w14:textId="77777777" w:rsidR="0001737D" w:rsidRDefault="0001737D" w:rsidP="0001737D">
      <w:pPr>
        <w:spacing w:after="0" w:line="240" w:lineRule="auto"/>
        <w:ind w:left="0" w:right="0" w:firstLine="0"/>
        <w:rPr>
          <w:rFonts w:eastAsia="Calibri"/>
          <w:color w:val="auto"/>
          <w:szCs w:val="24"/>
          <w:lang w:eastAsia="en-US"/>
        </w:rPr>
      </w:pPr>
    </w:p>
    <w:p w14:paraId="42CE1E12" w14:textId="77777777" w:rsidR="0001737D" w:rsidRDefault="0001737D" w:rsidP="0001737D">
      <w:pPr>
        <w:spacing w:after="0" w:line="240" w:lineRule="auto"/>
        <w:ind w:left="0" w:right="0" w:firstLine="0"/>
        <w:rPr>
          <w:rFonts w:eastAsia="Calibri"/>
          <w:color w:val="auto"/>
          <w:szCs w:val="24"/>
          <w:lang w:eastAsia="en-US"/>
        </w:rPr>
      </w:pPr>
    </w:p>
    <w:p w14:paraId="78646A95" w14:textId="77777777" w:rsidR="0001737D" w:rsidRDefault="0001737D" w:rsidP="0001737D">
      <w:pPr>
        <w:spacing w:after="0" w:line="240" w:lineRule="auto"/>
        <w:ind w:left="0" w:right="0" w:firstLine="0"/>
        <w:rPr>
          <w:rFonts w:eastAsia="Calibri"/>
          <w:color w:val="auto"/>
          <w:szCs w:val="24"/>
          <w:lang w:eastAsia="en-US"/>
        </w:rPr>
      </w:pPr>
    </w:p>
    <w:p w14:paraId="3F59D25C" w14:textId="77777777" w:rsidR="0001737D" w:rsidRPr="0001737D" w:rsidRDefault="0001737D" w:rsidP="0001737D">
      <w:pPr>
        <w:spacing w:after="0" w:line="240" w:lineRule="auto"/>
        <w:ind w:left="0" w:right="0" w:firstLine="0"/>
        <w:rPr>
          <w:rFonts w:eastAsia="Calibri"/>
          <w:color w:val="auto"/>
          <w:szCs w:val="24"/>
          <w:lang w:eastAsia="en-US"/>
        </w:rPr>
      </w:pPr>
    </w:p>
    <w:p w14:paraId="13504142" w14:textId="77777777" w:rsidR="0001737D" w:rsidRPr="0001737D" w:rsidRDefault="0001737D" w:rsidP="0001737D">
      <w:pPr>
        <w:spacing w:after="0" w:line="240" w:lineRule="auto"/>
        <w:ind w:left="0" w:right="0" w:firstLine="0"/>
        <w:rPr>
          <w:rFonts w:eastAsia="Calibri"/>
          <w:color w:val="auto"/>
          <w:szCs w:val="24"/>
          <w:lang w:eastAsia="en-US"/>
        </w:rPr>
      </w:pPr>
    </w:p>
    <w:p w14:paraId="08E43A4D"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6. Mejores condiciones de mercado</w:t>
      </w:r>
    </w:p>
    <w:p w14:paraId="369D4DBA" w14:textId="77777777" w:rsidR="0001737D" w:rsidRPr="0001737D" w:rsidRDefault="0001737D" w:rsidP="0001737D">
      <w:pPr>
        <w:spacing w:after="0" w:line="240" w:lineRule="auto"/>
        <w:ind w:left="0" w:right="0" w:firstLine="0"/>
        <w:rPr>
          <w:rFonts w:eastAsia="Calibri"/>
          <w:color w:val="auto"/>
          <w:szCs w:val="24"/>
          <w:lang w:eastAsia="en-US"/>
        </w:rPr>
      </w:pPr>
    </w:p>
    <w:p w14:paraId="4BBBA36C"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 xml:space="preserve">El Ayuntamiento de Mérida a través de la Dirección de Finanzas y Tesorera Municipal deberá realizar y garantizar las mejores condiciones del mercado, para lo cual deberá implementar el procedimiento dispuesto en el artículo 26, párrafo primero, de la Ley de disciplina financiera de las Entidades Federativas y los Municipios y el artículo 15 de la Ley de Deuda pública del Estado de Yucatán. </w:t>
      </w:r>
    </w:p>
    <w:p w14:paraId="787951AE" w14:textId="77777777" w:rsidR="0001737D" w:rsidRPr="0001737D" w:rsidRDefault="0001737D" w:rsidP="0001737D">
      <w:pPr>
        <w:spacing w:after="0" w:line="240" w:lineRule="auto"/>
        <w:ind w:left="0" w:right="0" w:firstLine="0"/>
        <w:rPr>
          <w:rFonts w:eastAsia="Calibri"/>
          <w:color w:val="auto"/>
          <w:szCs w:val="24"/>
          <w:lang w:eastAsia="en-US"/>
        </w:rPr>
      </w:pPr>
    </w:p>
    <w:p w14:paraId="613F6C2E" w14:textId="77777777" w:rsidR="0001737D" w:rsidRPr="0001737D" w:rsidRDefault="0001737D" w:rsidP="0001737D">
      <w:pPr>
        <w:spacing w:after="0" w:line="240" w:lineRule="auto"/>
        <w:ind w:left="0" w:right="0" w:firstLine="0"/>
        <w:jc w:val="left"/>
        <w:rPr>
          <w:rFonts w:eastAsia="Calibri"/>
          <w:b/>
          <w:color w:val="auto"/>
          <w:szCs w:val="24"/>
          <w:lang w:eastAsia="en-US"/>
        </w:rPr>
      </w:pPr>
      <w:r w:rsidRPr="0001737D">
        <w:rPr>
          <w:rFonts w:eastAsia="Calibri"/>
          <w:b/>
          <w:color w:val="auto"/>
          <w:szCs w:val="24"/>
          <w:lang w:eastAsia="en-US"/>
        </w:rPr>
        <w:t>Artículo 7. Adecuaciones Presupuestales.</w:t>
      </w:r>
    </w:p>
    <w:p w14:paraId="5926172C" w14:textId="77777777" w:rsidR="0001737D" w:rsidRPr="0001737D" w:rsidRDefault="0001737D" w:rsidP="0001737D">
      <w:pPr>
        <w:spacing w:after="0" w:line="240" w:lineRule="auto"/>
        <w:ind w:left="0" w:right="0" w:firstLine="708"/>
        <w:rPr>
          <w:rFonts w:eastAsia="Times New Roman"/>
          <w:color w:val="auto"/>
          <w:szCs w:val="24"/>
          <w:lang w:eastAsia="es-ES"/>
        </w:rPr>
      </w:pPr>
    </w:p>
    <w:p w14:paraId="2553D37E" w14:textId="77777777" w:rsidR="0001737D" w:rsidRPr="0001737D" w:rsidRDefault="0001737D" w:rsidP="0001737D">
      <w:pPr>
        <w:spacing w:after="0" w:line="240" w:lineRule="auto"/>
        <w:ind w:left="0" w:right="0" w:firstLine="708"/>
        <w:rPr>
          <w:rFonts w:eastAsia="Times New Roman"/>
          <w:color w:val="auto"/>
          <w:szCs w:val="24"/>
          <w:lang w:eastAsia="es-ES"/>
        </w:rPr>
      </w:pPr>
      <w:r w:rsidRPr="0001737D">
        <w:rPr>
          <w:rFonts w:eastAsia="Times New Roman"/>
          <w:color w:val="auto"/>
          <w:szCs w:val="24"/>
          <w:lang w:eastAsia="es-ES"/>
        </w:rPr>
        <w:t xml:space="preserve">El Ayuntamiento de Mérida, con base en esta autorización y a efecto de prever el monto o partidas para el servicio de la deuda que contraiga al contratar el financiamiento autorizado, deberá realizar las adecuaciones correspondientes al Presupuesto de Egresos del Municipio para el ejercicio en que se perciba y notificar a esta Soberanía al rendir su Cuenta Pública, de conformidad con las disposiciones establecidas en la Ley de Presupuesto y Contabilidad Gubernamental del Estado de Yucatán y su reglamento. </w:t>
      </w:r>
    </w:p>
    <w:p w14:paraId="1BE560D1" w14:textId="77777777" w:rsidR="0001737D" w:rsidRPr="0001737D" w:rsidRDefault="0001737D" w:rsidP="0001737D">
      <w:pPr>
        <w:spacing w:after="0" w:line="240" w:lineRule="auto"/>
        <w:ind w:left="0" w:right="0" w:firstLine="708"/>
        <w:rPr>
          <w:rFonts w:eastAsia="Times New Roman"/>
          <w:color w:val="auto"/>
          <w:szCs w:val="24"/>
          <w:lang w:eastAsia="es-ES"/>
        </w:rPr>
      </w:pPr>
    </w:p>
    <w:p w14:paraId="49BFF5D0" w14:textId="77777777" w:rsidR="0001737D" w:rsidRPr="0001737D" w:rsidRDefault="0001737D" w:rsidP="0001737D">
      <w:pPr>
        <w:spacing w:after="0" w:line="240" w:lineRule="auto"/>
        <w:ind w:left="0" w:right="0" w:firstLine="708"/>
        <w:rPr>
          <w:rFonts w:eastAsia="Times New Roman"/>
          <w:color w:val="auto"/>
          <w:szCs w:val="24"/>
          <w:lang w:val="es-ES" w:eastAsia="es-ES"/>
        </w:rPr>
      </w:pPr>
      <w:r w:rsidRPr="0001737D">
        <w:rPr>
          <w:rFonts w:eastAsia="Times New Roman"/>
          <w:color w:val="auto"/>
          <w:szCs w:val="24"/>
          <w:lang w:val="es-ES" w:eastAsia="es-ES"/>
        </w:rPr>
        <w:t xml:space="preserve">En tanto existan obligaciones a su cargo pendientes de pago que deriven del o los financiamientos que contrate con base en la presente autorización, el </w:t>
      </w:r>
      <w:r w:rsidRPr="0001737D">
        <w:rPr>
          <w:rFonts w:eastAsia="Times New Roman"/>
          <w:color w:val="auto"/>
          <w:szCs w:val="24"/>
          <w:lang w:eastAsia="es-ES"/>
        </w:rPr>
        <w:t>Ayuntamiento</w:t>
      </w:r>
      <w:r w:rsidRPr="0001737D">
        <w:rPr>
          <w:rFonts w:eastAsia="Times New Roman"/>
          <w:color w:val="auto"/>
          <w:szCs w:val="24"/>
          <w:lang w:val="es-ES" w:eastAsia="es-ES"/>
        </w:rPr>
        <w:t xml:space="preserve"> deberá prever anualmente en su Presupuesto de Egresos, el importe o partida que permita realizar las erogaciones para el pago del servicio de la deuda en cada ejercicio fiscal, bajo los términos contratados, hasta la total liquidación del o los financiamientos formalizados.</w:t>
      </w:r>
    </w:p>
    <w:p w14:paraId="6445F5C4" w14:textId="77777777" w:rsidR="0001737D" w:rsidRPr="0001737D" w:rsidRDefault="0001737D" w:rsidP="0001737D">
      <w:pPr>
        <w:spacing w:after="0" w:line="240" w:lineRule="auto"/>
        <w:ind w:left="0" w:right="0" w:firstLine="0"/>
        <w:rPr>
          <w:rFonts w:eastAsia="Calibri"/>
          <w:color w:val="auto"/>
          <w:szCs w:val="24"/>
          <w:lang w:eastAsia="en-US"/>
        </w:rPr>
      </w:pPr>
    </w:p>
    <w:p w14:paraId="6AF24BCC"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Asimismo, se autoriza al Ayuntamiento para que a través de la Dirección de Finanzas y Tesorería Municipal a realizar los gastos correspondientes a reservas, accesorios financieros, contratos de cobertura de tasas de interés, honorarios fiduciarios, honorarios de asesoría técnica, jurídica, contable o financiera y gastos por la calificación específica a la estructura del financiamiento y/o de estructuración, y en su caso, los demás accesorios financieros necesarios, los cuales podrán ser contratados directamente y cubiertos directamente por la misma o por conducto del Fideicomiso que sea constituido como mecanismo de pago.</w:t>
      </w:r>
    </w:p>
    <w:p w14:paraId="6C52CB04" w14:textId="77777777" w:rsidR="0001737D" w:rsidRPr="0001737D" w:rsidRDefault="0001737D" w:rsidP="0001737D">
      <w:pPr>
        <w:spacing w:after="0" w:line="240" w:lineRule="auto"/>
        <w:ind w:left="0" w:right="0" w:firstLine="0"/>
        <w:rPr>
          <w:rFonts w:eastAsia="Calibri"/>
          <w:color w:val="auto"/>
          <w:szCs w:val="24"/>
          <w:lang w:eastAsia="en-US"/>
        </w:rPr>
      </w:pPr>
    </w:p>
    <w:p w14:paraId="3F4346AC" w14:textId="77777777" w:rsidR="0001737D" w:rsidRPr="0001737D" w:rsidRDefault="0001737D" w:rsidP="0001737D">
      <w:pPr>
        <w:spacing w:after="0" w:line="240" w:lineRule="auto"/>
        <w:ind w:left="0" w:right="0" w:firstLine="0"/>
        <w:jc w:val="left"/>
        <w:rPr>
          <w:rFonts w:eastAsia="Calibri"/>
          <w:b/>
          <w:color w:val="auto"/>
          <w:szCs w:val="24"/>
          <w:lang w:eastAsia="en-US"/>
        </w:rPr>
      </w:pPr>
      <w:r w:rsidRPr="0001737D">
        <w:rPr>
          <w:rFonts w:eastAsia="Calibri"/>
          <w:b/>
          <w:color w:val="auto"/>
          <w:szCs w:val="24"/>
          <w:lang w:eastAsia="en-US"/>
        </w:rPr>
        <w:t>Artículo 8. Inscripción en el registro</w:t>
      </w:r>
    </w:p>
    <w:p w14:paraId="12FB15D2" w14:textId="77777777" w:rsidR="0001737D" w:rsidRPr="0001737D" w:rsidRDefault="0001737D" w:rsidP="0001737D">
      <w:pPr>
        <w:spacing w:after="0" w:line="240" w:lineRule="auto"/>
        <w:ind w:left="0" w:right="0" w:firstLine="708"/>
        <w:rPr>
          <w:rFonts w:eastAsia="Calibri"/>
          <w:color w:val="auto"/>
          <w:szCs w:val="24"/>
          <w:lang w:eastAsia="en-US"/>
        </w:rPr>
      </w:pPr>
    </w:p>
    <w:p w14:paraId="4580CAE4"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Las obligaciones que deriven del o los financiamientos que se contrate al amparo de este decreto constituirán deuda pública, en consecuencia, deberán inscribirse en el Registro de Empréstitos y Obligaciones del Estado de Yucatán</w:t>
      </w:r>
      <w:r w:rsidRPr="0001737D">
        <w:rPr>
          <w:rFonts w:eastAsia="Times New Roman"/>
          <w:color w:val="auto"/>
          <w:szCs w:val="24"/>
          <w:lang w:eastAsia="es-ES"/>
        </w:rPr>
        <w:t xml:space="preserve"> </w:t>
      </w:r>
      <w:r w:rsidRPr="0001737D">
        <w:rPr>
          <w:rFonts w:eastAsia="Calibri"/>
          <w:color w:val="auto"/>
          <w:szCs w:val="24"/>
          <w:lang w:eastAsia="en-US"/>
        </w:rPr>
        <w:t xml:space="preserve">a cargo de la Secretaría de Administración y Finanzas del Estado y ante el Registro Público Único de Financiamientos y Obligaciones de Entidades Federativas y Municipios a cargo de la Secretaría de Hacienda y Crédito Público, en términos de las disposiciones legales y administrativas aplicables. </w:t>
      </w:r>
    </w:p>
    <w:p w14:paraId="78F4701B" w14:textId="77777777" w:rsidR="0001737D" w:rsidRPr="0001737D" w:rsidRDefault="0001737D" w:rsidP="0001737D">
      <w:pPr>
        <w:spacing w:after="0" w:line="240" w:lineRule="auto"/>
        <w:ind w:left="0" w:right="0" w:firstLine="0"/>
        <w:rPr>
          <w:rFonts w:eastAsia="Calibri"/>
          <w:color w:val="auto"/>
          <w:szCs w:val="24"/>
          <w:lang w:eastAsia="en-US"/>
        </w:rPr>
      </w:pPr>
    </w:p>
    <w:p w14:paraId="547DAF7F"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Adicionalmente a las inscripciones anteriores, la administración municipal deberá generar una inscripción en el registro que para el efecto se administre por esta, de cada una de las operaciones que constituyan deuda pública y que se contraten con base en la presente autorización, en cumplimiento a la obligación señalada en el artículo 9, fracción I, de la Ley de Deuda Pública del Estado de Yucatán.</w:t>
      </w:r>
    </w:p>
    <w:p w14:paraId="74C2865B" w14:textId="77777777" w:rsidR="0001737D" w:rsidRPr="0001737D" w:rsidRDefault="0001737D" w:rsidP="0001737D">
      <w:pPr>
        <w:spacing w:after="0" w:line="240" w:lineRule="auto"/>
        <w:ind w:left="0" w:right="0" w:firstLine="0"/>
        <w:rPr>
          <w:rFonts w:eastAsia="Calibri"/>
          <w:color w:val="auto"/>
          <w:szCs w:val="24"/>
          <w:lang w:eastAsia="en-US"/>
        </w:rPr>
      </w:pPr>
    </w:p>
    <w:p w14:paraId="65A94E7D"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b/>
          <w:color w:val="auto"/>
          <w:szCs w:val="24"/>
          <w:lang w:eastAsia="en-US"/>
        </w:rPr>
        <w:t>Artículo segundo.</w:t>
      </w:r>
      <w:r w:rsidRPr="0001737D">
        <w:rPr>
          <w:rFonts w:eastAsia="Calibri"/>
          <w:color w:val="auto"/>
          <w:szCs w:val="24"/>
          <w:lang w:eastAsia="en-US"/>
        </w:rPr>
        <w:t xml:space="preserve"> Se reforma el total y el numeral 0 del artículo 3 y se reforma el artículo 4 de la Ley de Ingresos del Municipio de Mérida, Yucatán, para el Ejercicio Fiscal 2022, para quedar como sigue:</w:t>
      </w:r>
    </w:p>
    <w:p w14:paraId="2B34EDF3" w14:textId="77777777" w:rsidR="0001737D" w:rsidRPr="0001737D" w:rsidRDefault="0001737D" w:rsidP="0001737D">
      <w:pPr>
        <w:spacing w:after="0" w:line="240" w:lineRule="auto"/>
        <w:ind w:left="0" w:right="0" w:firstLine="0"/>
        <w:rPr>
          <w:rFonts w:eastAsia="Calibri"/>
          <w:color w:val="auto"/>
          <w:szCs w:val="24"/>
          <w:lang w:eastAsia="en-US"/>
        </w:rPr>
      </w:pPr>
    </w:p>
    <w:p w14:paraId="28994345"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b/>
          <w:color w:val="auto"/>
          <w:szCs w:val="24"/>
          <w:lang w:eastAsia="en-US"/>
        </w:rPr>
        <w:t>ARTÍCULO 3.</w:t>
      </w:r>
      <w:proofErr w:type="gramStart"/>
      <w:r w:rsidRPr="0001737D">
        <w:rPr>
          <w:rFonts w:eastAsia="Calibri"/>
          <w:b/>
          <w:color w:val="auto"/>
          <w:szCs w:val="24"/>
          <w:lang w:eastAsia="en-US"/>
        </w:rPr>
        <w:t>-</w:t>
      </w:r>
      <w:r w:rsidRPr="0001737D">
        <w:rPr>
          <w:rFonts w:eastAsia="Calibri"/>
          <w:color w:val="auto"/>
          <w:szCs w:val="24"/>
          <w:lang w:eastAsia="en-US"/>
        </w:rPr>
        <w:t xml:space="preserve"> …</w:t>
      </w:r>
      <w:proofErr w:type="gramEnd"/>
      <w:r w:rsidRPr="0001737D">
        <w:rPr>
          <w:rFonts w:eastAsia="Calibri"/>
          <w:color w:val="auto"/>
          <w:szCs w:val="24"/>
          <w:lang w:eastAsia="en-US"/>
        </w:rPr>
        <w:t xml:space="preserve"> </w:t>
      </w:r>
    </w:p>
    <w:p w14:paraId="1AB66631" w14:textId="77777777" w:rsidR="0001737D" w:rsidRPr="0001737D" w:rsidRDefault="0001737D" w:rsidP="0001737D">
      <w:pPr>
        <w:spacing w:after="0" w:line="240" w:lineRule="auto"/>
        <w:ind w:left="0" w:right="0" w:firstLine="0"/>
        <w:rPr>
          <w:rFonts w:eastAsia="Calibri"/>
          <w:color w:val="auto"/>
          <w:szCs w:val="24"/>
          <w:lang w:eastAsia="en-US"/>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635"/>
        <w:gridCol w:w="1244"/>
        <w:gridCol w:w="3544"/>
        <w:gridCol w:w="1825"/>
        <w:gridCol w:w="18"/>
      </w:tblGrid>
      <w:tr w:rsidR="0001737D" w:rsidRPr="0001737D" w14:paraId="0DFE27E4" w14:textId="77777777" w:rsidTr="00B114C3">
        <w:trPr>
          <w:trHeight w:val="227"/>
        </w:trPr>
        <w:tc>
          <w:tcPr>
            <w:tcW w:w="5882" w:type="dxa"/>
            <w:gridSpan w:val="4"/>
            <w:shd w:val="clear" w:color="000000" w:fill="FFFFFF"/>
            <w:noWrap/>
            <w:vAlign w:val="center"/>
          </w:tcPr>
          <w:p w14:paraId="627B1B26" w14:textId="77777777" w:rsidR="0001737D" w:rsidRPr="0001737D" w:rsidRDefault="0001737D" w:rsidP="0001737D">
            <w:pPr>
              <w:spacing w:after="0" w:line="240" w:lineRule="auto"/>
              <w:ind w:left="0" w:right="0" w:firstLine="0"/>
              <w:rPr>
                <w:rFonts w:eastAsia="Times New Roman"/>
                <w:b/>
                <w:bCs/>
                <w:color w:val="auto"/>
                <w:szCs w:val="24"/>
                <w:lang w:val="es-ES" w:eastAsia="es-ES"/>
              </w:rPr>
            </w:pPr>
            <w:r w:rsidRPr="0001737D">
              <w:rPr>
                <w:rFonts w:eastAsia="Times New Roman"/>
                <w:b/>
                <w:bCs/>
                <w:color w:val="auto"/>
                <w:szCs w:val="24"/>
                <w:lang w:val="es-ES" w:eastAsia="es-ES"/>
              </w:rPr>
              <w:t>TOTAL (1 + 3 + 4 + 5 + 6 + 8 + 9 + 0)</w:t>
            </w:r>
          </w:p>
        </w:tc>
        <w:tc>
          <w:tcPr>
            <w:tcW w:w="1843" w:type="dxa"/>
            <w:gridSpan w:val="2"/>
            <w:shd w:val="clear" w:color="000000" w:fill="FFFFFF"/>
            <w:vAlign w:val="center"/>
          </w:tcPr>
          <w:p w14:paraId="27CD673C" w14:textId="77777777" w:rsidR="0001737D" w:rsidRPr="0001737D" w:rsidRDefault="0001737D" w:rsidP="0001737D">
            <w:pPr>
              <w:spacing w:after="0" w:line="240" w:lineRule="auto"/>
              <w:ind w:left="0" w:right="0" w:firstLine="0"/>
              <w:rPr>
                <w:rFonts w:eastAsia="Times New Roman"/>
                <w:b/>
                <w:bCs/>
                <w:color w:val="auto"/>
                <w:szCs w:val="24"/>
                <w:lang w:val="es-ES" w:eastAsia="es-ES"/>
              </w:rPr>
            </w:pPr>
            <w:r w:rsidRPr="0001737D">
              <w:rPr>
                <w:rFonts w:eastAsia="Times New Roman"/>
                <w:b/>
                <w:bCs/>
                <w:color w:val="auto"/>
                <w:szCs w:val="24"/>
                <w:lang w:val="es-ES" w:eastAsia="es-ES"/>
              </w:rPr>
              <w:t>$4,647,811,917.00</w:t>
            </w:r>
          </w:p>
        </w:tc>
      </w:tr>
      <w:tr w:rsidR="0001737D" w:rsidRPr="0001737D" w14:paraId="094BF40B" w14:textId="77777777" w:rsidTr="00B114C3">
        <w:trPr>
          <w:trHeight w:val="415"/>
        </w:trPr>
        <w:tc>
          <w:tcPr>
            <w:tcW w:w="2338" w:type="dxa"/>
            <w:gridSpan w:val="3"/>
            <w:shd w:val="clear" w:color="000000" w:fill="FFFFFF"/>
            <w:noWrap/>
            <w:vAlign w:val="center"/>
          </w:tcPr>
          <w:p w14:paraId="6A4D070E" w14:textId="77777777" w:rsidR="0001737D" w:rsidRPr="0001737D" w:rsidRDefault="0001737D" w:rsidP="0001737D">
            <w:pPr>
              <w:spacing w:after="0" w:line="240" w:lineRule="auto"/>
              <w:ind w:left="0" w:right="0" w:firstLine="0"/>
              <w:jc w:val="center"/>
              <w:rPr>
                <w:rFonts w:eastAsia="Times New Roman"/>
                <w:bCs/>
                <w:color w:val="auto"/>
                <w:szCs w:val="24"/>
                <w:lang w:val="es-ES" w:eastAsia="es-ES"/>
              </w:rPr>
            </w:pPr>
            <w:r w:rsidRPr="0001737D">
              <w:rPr>
                <w:rFonts w:eastAsia="Times New Roman"/>
                <w:bCs/>
                <w:color w:val="auto"/>
                <w:szCs w:val="24"/>
                <w:lang w:val="es-ES" w:eastAsia="es-ES"/>
              </w:rPr>
              <w:t>1 a 9</w:t>
            </w:r>
          </w:p>
        </w:tc>
        <w:tc>
          <w:tcPr>
            <w:tcW w:w="3544" w:type="dxa"/>
            <w:shd w:val="clear" w:color="000000" w:fill="FFFFFF"/>
            <w:vAlign w:val="center"/>
          </w:tcPr>
          <w:p w14:paraId="28148AE4" w14:textId="77777777" w:rsidR="0001737D" w:rsidRPr="0001737D" w:rsidRDefault="0001737D" w:rsidP="0001737D">
            <w:pPr>
              <w:spacing w:after="0" w:line="240" w:lineRule="auto"/>
              <w:ind w:left="0" w:right="0" w:firstLine="0"/>
              <w:jc w:val="center"/>
              <w:rPr>
                <w:rFonts w:eastAsia="Times New Roman"/>
                <w:b/>
                <w:bCs/>
                <w:color w:val="auto"/>
                <w:szCs w:val="24"/>
                <w:lang w:val="es-ES" w:eastAsia="es-ES"/>
              </w:rPr>
            </w:pPr>
            <w:r w:rsidRPr="0001737D">
              <w:rPr>
                <w:rFonts w:eastAsia="Times New Roman"/>
                <w:b/>
                <w:bCs/>
                <w:color w:val="auto"/>
                <w:szCs w:val="24"/>
                <w:lang w:val="es-ES" w:eastAsia="es-ES"/>
              </w:rPr>
              <w:t>…</w:t>
            </w:r>
          </w:p>
        </w:tc>
        <w:tc>
          <w:tcPr>
            <w:tcW w:w="1843" w:type="dxa"/>
            <w:gridSpan w:val="2"/>
            <w:shd w:val="clear" w:color="000000" w:fill="FFFFFF"/>
            <w:vAlign w:val="center"/>
          </w:tcPr>
          <w:p w14:paraId="37210866" w14:textId="77777777" w:rsidR="0001737D" w:rsidRPr="0001737D" w:rsidRDefault="0001737D" w:rsidP="0001737D">
            <w:pPr>
              <w:spacing w:after="0" w:line="240" w:lineRule="auto"/>
              <w:ind w:left="0" w:right="0" w:firstLine="0"/>
              <w:jc w:val="right"/>
              <w:rPr>
                <w:rFonts w:eastAsia="Times New Roman"/>
                <w:b/>
                <w:bCs/>
                <w:color w:val="auto"/>
                <w:szCs w:val="24"/>
                <w:lang w:val="es-ES" w:eastAsia="es-ES"/>
              </w:rPr>
            </w:pPr>
            <w:r w:rsidRPr="0001737D">
              <w:rPr>
                <w:rFonts w:eastAsia="Times New Roman"/>
                <w:b/>
                <w:bCs/>
                <w:color w:val="auto"/>
                <w:szCs w:val="24"/>
                <w:lang w:val="es-ES" w:eastAsia="es-ES"/>
              </w:rPr>
              <w:t>…</w:t>
            </w:r>
          </w:p>
        </w:tc>
      </w:tr>
      <w:tr w:rsidR="0001737D" w:rsidRPr="0001737D" w14:paraId="4CA0A364" w14:textId="77777777" w:rsidTr="00B114C3">
        <w:trPr>
          <w:gridAfter w:val="1"/>
          <w:wAfter w:w="18" w:type="dxa"/>
          <w:trHeight w:val="415"/>
        </w:trPr>
        <w:tc>
          <w:tcPr>
            <w:tcW w:w="459" w:type="dxa"/>
            <w:shd w:val="clear" w:color="000000" w:fill="FFFFFF"/>
            <w:noWrap/>
            <w:vAlign w:val="center"/>
            <w:hideMark/>
          </w:tcPr>
          <w:p w14:paraId="41DE0C4F" w14:textId="77777777" w:rsidR="0001737D" w:rsidRPr="0001737D" w:rsidRDefault="0001737D" w:rsidP="0001737D">
            <w:pPr>
              <w:spacing w:after="0" w:line="240" w:lineRule="auto"/>
              <w:ind w:left="0" w:right="0" w:firstLine="0"/>
              <w:jc w:val="center"/>
              <w:rPr>
                <w:rFonts w:eastAsia="Times New Roman"/>
                <w:b/>
                <w:bCs/>
                <w:color w:val="auto"/>
                <w:szCs w:val="24"/>
                <w:lang w:val="es-ES" w:eastAsia="es-ES"/>
              </w:rPr>
            </w:pPr>
            <w:r w:rsidRPr="0001737D">
              <w:rPr>
                <w:rFonts w:eastAsia="Times New Roman"/>
                <w:b/>
                <w:bCs/>
                <w:color w:val="auto"/>
                <w:szCs w:val="24"/>
                <w:lang w:val="es-ES" w:eastAsia="es-ES"/>
              </w:rPr>
              <w:t>0</w:t>
            </w:r>
          </w:p>
        </w:tc>
        <w:tc>
          <w:tcPr>
            <w:tcW w:w="635" w:type="dxa"/>
            <w:shd w:val="clear" w:color="000000" w:fill="FFFFFF"/>
            <w:noWrap/>
            <w:vAlign w:val="center"/>
            <w:hideMark/>
          </w:tcPr>
          <w:p w14:paraId="7E8B0305" w14:textId="77777777" w:rsidR="0001737D" w:rsidRPr="0001737D" w:rsidRDefault="0001737D" w:rsidP="0001737D">
            <w:pPr>
              <w:spacing w:after="0" w:line="240" w:lineRule="auto"/>
              <w:ind w:left="0" w:right="0" w:firstLine="0"/>
              <w:jc w:val="center"/>
              <w:rPr>
                <w:rFonts w:eastAsia="Times New Roman"/>
                <w:b/>
                <w:bCs/>
                <w:color w:val="auto"/>
                <w:szCs w:val="24"/>
                <w:lang w:val="es-ES" w:eastAsia="es-ES"/>
              </w:rPr>
            </w:pPr>
            <w:r w:rsidRPr="0001737D">
              <w:rPr>
                <w:rFonts w:eastAsia="Times New Roman"/>
                <w:b/>
                <w:bCs/>
                <w:color w:val="auto"/>
                <w:szCs w:val="24"/>
                <w:lang w:val="es-ES" w:eastAsia="es-ES"/>
              </w:rPr>
              <w:t> </w:t>
            </w:r>
          </w:p>
        </w:tc>
        <w:tc>
          <w:tcPr>
            <w:tcW w:w="1244" w:type="dxa"/>
            <w:shd w:val="clear" w:color="000000" w:fill="FFFFFF"/>
            <w:noWrap/>
            <w:vAlign w:val="center"/>
            <w:hideMark/>
          </w:tcPr>
          <w:p w14:paraId="35FFCC3B" w14:textId="77777777" w:rsidR="0001737D" w:rsidRPr="0001737D" w:rsidRDefault="0001737D" w:rsidP="0001737D">
            <w:pPr>
              <w:spacing w:after="0" w:line="240" w:lineRule="auto"/>
              <w:ind w:left="0" w:right="0" w:firstLine="0"/>
              <w:jc w:val="center"/>
              <w:rPr>
                <w:rFonts w:eastAsia="Times New Roman"/>
                <w:b/>
                <w:bCs/>
                <w:color w:val="auto"/>
                <w:szCs w:val="24"/>
                <w:lang w:val="es-ES" w:eastAsia="es-ES"/>
              </w:rPr>
            </w:pPr>
            <w:r w:rsidRPr="0001737D">
              <w:rPr>
                <w:rFonts w:eastAsia="Times New Roman"/>
                <w:b/>
                <w:bCs/>
                <w:color w:val="auto"/>
                <w:szCs w:val="24"/>
                <w:lang w:val="es-ES" w:eastAsia="es-ES"/>
              </w:rPr>
              <w:t> </w:t>
            </w:r>
          </w:p>
        </w:tc>
        <w:tc>
          <w:tcPr>
            <w:tcW w:w="3544" w:type="dxa"/>
            <w:shd w:val="clear" w:color="000000" w:fill="FFFFFF"/>
            <w:vAlign w:val="center"/>
            <w:hideMark/>
          </w:tcPr>
          <w:p w14:paraId="314ABF30" w14:textId="77777777" w:rsidR="0001737D" w:rsidRPr="0001737D" w:rsidRDefault="0001737D" w:rsidP="0001737D">
            <w:pPr>
              <w:spacing w:after="0" w:line="240" w:lineRule="auto"/>
              <w:ind w:left="0" w:right="0" w:firstLine="0"/>
              <w:jc w:val="center"/>
              <w:rPr>
                <w:rFonts w:eastAsia="Times New Roman"/>
                <w:b/>
                <w:bCs/>
                <w:color w:val="auto"/>
                <w:szCs w:val="24"/>
                <w:lang w:val="es-ES" w:eastAsia="es-ES"/>
              </w:rPr>
            </w:pPr>
            <w:r w:rsidRPr="0001737D">
              <w:rPr>
                <w:rFonts w:eastAsia="Times New Roman"/>
                <w:b/>
                <w:bCs/>
                <w:color w:val="auto"/>
                <w:szCs w:val="24"/>
                <w:lang w:val="es-ES" w:eastAsia="es-ES"/>
              </w:rPr>
              <w:t>Ingresos derivados de Financiamientos</w:t>
            </w:r>
          </w:p>
        </w:tc>
        <w:tc>
          <w:tcPr>
            <w:tcW w:w="1825" w:type="dxa"/>
            <w:shd w:val="clear" w:color="000000" w:fill="FFFFFF"/>
            <w:vAlign w:val="center"/>
            <w:hideMark/>
          </w:tcPr>
          <w:p w14:paraId="1B95606B" w14:textId="77777777" w:rsidR="0001737D" w:rsidRPr="0001737D" w:rsidRDefault="0001737D" w:rsidP="0001737D">
            <w:pPr>
              <w:spacing w:after="0" w:line="240" w:lineRule="auto"/>
              <w:ind w:left="0" w:right="0" w:firstLine="0"/>
              <w:jc w:val="right"/>
              <w:rPr>
                <w:rFonts w:eastAsia="Times New Roman"/>
                <w:b/>
                <w:bCs/>
                <w:color w:val="auto"/>
                <w:szCs w:val="24"/>
                <w:lang w:val="es-ES" w:eastAsia="es-ES"/>
              </w:rPr>
            </w:pPr>
            <w:r w:rsidRPr="0001737D">
              <w:rPr>
                <w:rFonts w:eastAsia="Times New Roman"/>
                <w:b/>
                <w:bCs/>
                <w:color w:val="auto"/>
                <w:szCs w:val="24"/>
                <w:lang w:val="es-ES" w:eastAsia="es-ES"/>
              </w:rPr>
              <w:t>350,000,000.00</w:t>
            </w:r>
          </w:p>
        </w:tc>
      </w:tr>
      <w:tr w:rsidR="0001737D" w:rsidRPr="0001737D" w14:paraId="5AF2FF3C" w14:textId="77777777" w:rsidTr="00B114C3">
        <w:trPr>
          <w:gridAfter w:val="1"/>
          <w:wAfter w:w="18" w:type="dxa"/>
          <w:trHeight w:val="200"/>
        </w:trPr>
        <w:tc>
          <w:tcPr>
            <w:tcW w:w="459" w:type="dxa"/>
            <w:shd w:val="clear" w:color="000000" w:fill="FFFFFF"/>
            <w:noWrap/>
            <w:vAlign w:val="center"/>
            <w:hideMark/>
          </w:tcPr>
          <w:p w14:paraId="49A907D9"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bCs/>
                <w:color w:val="auto"/>
                <w:szCs w:val="24"/>
                <w:lang w:val="es-ES" w:eastAsia="es-ES"/>
              </w:rPr>
              <w:t> </w:t>
            </w:r>
          </w:p>
        </w:tc>
        <w:tc>
          <w:tcPr>
            <w:tcW w:w="635" w:type="dxa"/>
            <w:shd w:val="clear" w:color="000000" w:fill="FFFFFF"/>
            <w:noWrap/>
            <w:vAlign w:val="center"/>
            <w:hideMark/>
          </w:tcPr>
          <w:p w14:paraId="749EE579"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bCs/>
                <w:color w:val="auto"/>
                <w:szCs w:val="24"/>
                <w:lang w:val="es-ES" w:eastAsia="es-ES"/>
              </w:rPr>
              <w:t>0.01</w:t>
            </w:r>
          </w:p>
        </w:tc>
        <w:tc>
          <w:tcPr>
            <w:tcW w:w="1244" w:type="dxa"/>
            <w:shd w:val="clear" w:color="000000" w:fill="FFFFFF"/>
            <w:noWrap/>
            <w:vAlign w:val="center"/>
            <w:hideMark/>
          </w:tcPr>
          <w:p w14:paraId="0ED64467"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bCs/>
                <w:color w:val="auto"/>
                <w:szCs w:val="24"/>
                <w:lang w:val="es-ES" w:eastAsia="es-ES"/>
              </w:rPr>
              <w:t> </w:t>
            </w:r>
          </w:p>
        </w:tc>
        <w:tc>
          <w:tcPr>
            <w:tcW w:w="3544" w:type="dxa"/>
            <w:shd w:val="clear" w:color="auto" w:fill="FFFFFF"/>
            <w:vAlign w:val="center"/>
            <w:hideMark/>
          </w:tcPr>
          <w:p w14:paraId="4D0AD731" w14:textId="77777777" w:rsidR="0001737D" w:rsidRPr="0001737D" w:rsidRDefault="0001737D" w:rsidP="0001737D">
            <w:pPr>
              <w:spacing w:after="0" w:line="240" w:lineRule="auto"/>
              <w:ind w:left="0" w:right="0" w:firstLineChars="400" w:firstLine="960"/>
              <w:jc w:val="center"/>
              <w:rPr>
                <w:rFonts w:eastAsia="Times New Roman"/>
                <w:color w:val="auto"/>
                <w:szCs w:val="24"/>
                <w:lang w:val="es-ES" w:eastAsia="es-ES"/>
              </w:rPr>
            </w:pPr>
            <w:r w:rsidRPr="0001737D">
              <w:rPr>
                <w:rFonts w:eastAsia="Times New Roman"/>
                <w:bCs/>
                <w:color w:val="auto"/>
                <w:szCs w:val="24"/>
                <w:lang w:val="es-ES" w:eastAsia="es-ES"/>
              </w:rPr>
              <w:t>…</w:t>
            </w:r>
          </w:p>
        </w:tc>
        <w:tc>
          <w:tcPr>
            <w:tcW w:w="1825" w:type="dxa"/>
            <w:shd w:val="clear" w:color="000000" w:fill="FFFFFF"/>
            <w:vAlign w:val="center"/>
            <w:hideMark/>
          </w:tcPr>
          <w:p w14:paraId="33EE6059" w14:textId="77777777" w:rsidR="0001737D" w:rsidRPr="0001737D" w:rsidRDefault="0001737D" w:rsidP="0001737D">
            <w:pPr>
              <w:spacing w:after="0" w:line="240" w:lineRule="auto"/>
              <w:ind w:left="0" w:right="0" w:firstLine="0"/>
              <w:jc w:val="right"/>
              <w:rPr>
                <w:rFonts w:eastAsia="Times New Roman"/>
                <w:color w:val="auto"/>
                <w:szCs w:val="24"/>
                <w:lang w:val="es-ES" w:eastAsia="es-ES"/>
              </w:rPr>
            </w:pPr>
            <w:r w:rsidRPr="0001737D">
              <w:rPr>
                <w:rFonts w:eastAsia="Times New Roman"/>
                <w:bCs/>
                <w:color w:val="auto"/>
                <w:szCs w:val="24"/>
                <w:lang w:val="es-ES" w:eastAsia="es-ES"/>
              </w:rPr>
              <w:t>…</w:t>
            </w:r>
          </w:p>
        </w:tc>
      </w:tr>
      <w:tr w:rsidR="0001737D" w:rsidRPr="0001737D" w14:paraId="59409981" w14:textId="77777777" w:rsidTr="00B114C3">
        <w:trPr>
          <w:gridAfter w:val="1"/>
          <w:wAfter w:w="18" w:type="dxa"/>
          <w:trHeight w:val="200"/>
        </w:trPr>
        <w:tc>
          <w:tcPr>
            <w:tcW w:w="459" w:type="dxa"/>
            <w:shd w:val="clear" w:color="000000" w:fill="FFFFFF"/>
            <w:noWrap/>
            <w:vAlign w:val="center"/>
          </w:tcPr>
          <w:p w14:paraId="373696E2"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color w:val="auto"/>
                <w:szCs w:val="24"/>
                <w:lang w:val="es-ES" w:eastAsia="es-ES"/>
              </w:rPr>
              <w:t> </w:t>
            </w:r>
          </w:p>
        </w:tc>
        <w:tc>
          <w:tcPr>
            <w:tcW w:w="635" w:type="dxa"/>
            <w:shd w:val="clear" w:color="000000" w:fill="FFFFFF"/>
            <w:noWrap/>
            <w:vAlign w:val="center"/>
          </w:tcPr>
          <w:p w14:paraId="44474022"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color w:val="auto"/>
                <w:szCs w:val="24"/>
                <w:lang w:val="es-ES" w:eastAsia="es-ES"/>
              </w:rPr>
              <w:t> </w:t>
            </w:r>
          </w:p>
        </w:tc>
        <w:tc>
          <w:tcPr>
            <w:tcW w:w="1244" w:type="dxa"/>
            <w:shd w:val="clear" w:color="000000" w:fill="FFFFFF"/>
            <w:noWrap/>
            <w:vAlign w:val="center"/>
          </w:tcPr>
          <w:p w14:paraId="7C741EA2"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color w:val="auto"/>
                <w:szCs w:val="24"/>
                <w:lang w:val="es-ES" w:eastAsia="es-ES"/>
              </w:rPr>
              <w:t>0.01.1</w:t>
            </w:r>
          </w:p>
        </w:tc>
        <w:tc>
          <w:tcPr>
            <w:tcW w:w="3544" w:type="dxa"/>
            <w:shd w:val="clear" w:color="auto" w:fill="FFFFFF"/>
            <w:vAlign w:val="center"/>
          </w:tcPr>
          <w:p w14:paraId="0DC8153B" w14:textId="77777777" w:rsidR="0001737D" w:rsidRPr="0001737D" w:rsidRDefault="0001737D" w:rsidP="0001737D">
            <w:pPr>
              <w:spacing w:after="0" w:line="240" w:lineRule="auto"/>
              <w:ind w:left="0" w:right="0" w:firstLineChars="400" w:firstLine="960"/>
              <w:jc w:val="center"/>
              <w:rPr>
                <w:rFonts w:eastAsia="Times New Roman"/>
                <w:color w:val="auto"/>
                <w:szCs w:val="24"/>
                <w:lang w:val="es-ES" w:eastAsia="es-ES"/>
              </w:rPr>
            </w:pPr>
            <w:r w:rsidRPr="0001737D">
              <w:rPr>
                <w:rFonts w:eastAsia="Times New Roman"/>
                <w:color w:val="auto"/>
                <w:szCs w:val="24"/>
                <w:lang w:val="es-ES" w:eastAsia="es-ES"/>
              </w:rPr>
              <w:t>…</w:t>
            </w:r>
          </w:p>
        </w:tc>
        <w:tc>
          <w:tcPr>
            <w:tcW w:w="1825" w:type="dxa"/>
            <w:shd w:val="clear" w:color="000000" w:fill="FFFFFF"/>
            <w:vAlign w:val="center"/>
          </w:tcPr>
          <w:p w14:paraId="4FE32CF5" w14:textId="77777777" w:rsidR="0001737D" w:rsidRPr="0001737D" w:rsidRDefault="0001737D" w:rsidP="0001737D">
            <w:pPr>
              <w:spacing w:after="0" w:line="240" w:lineRule="auto"/>
              <w:ind w:left="0" w:right="0" w:firstLine="0"/>
              <w:jc w:val="right"/>
              <w:rPr>
                <w:rFonts w:eastAsia="Times New Roman"/>
                <w:color w:val="auto"/>
                <w:szCs w:val="24"/>
                <w:lang w:val="es-ES" w:eastAsia="es-ES"/>
              </w:rPr>
            </w:pPr>
            <w:r w:rsidRPr="0001737D">
              <w:rPr>
                <w:rFonts w:eastAsia="Times New Roman"/>
                <w:color w:val="auto"/>
                <w:szCs w:val="24"/>
                <w:lang w:val="es-ES" w:eastAsia="es-ES"/>
              </w:rPr>
              <w:t>…</w:t>
            </w:r>
          </w:p>
        </w:tc>
      </w:tr>
      <w:tr w:rsidR="0001737D" w:rsidRPr="0001737D" w14:paraId="627B2371" w14:textId="77777777" w:rsidTr="00B114C3">
        <w:trPr>
          <w:gridAfter w:val="1"/>
          <w:wAfter w:w="18" w:type="dxa"/>
          <w:trHeight w:val="200"/>
        </w:trPr>
        <w:tc>
          <w:tcPr>
            <w:tcW w:w="459" w:type="dxa"/>
            <w:shd w:val="clear" w:color="000000" w:fill="FFFFFF"/>
            <w:noWrap/>
            <w:vAlign w:val="center"/>
          </w:tcPr>
          <w:p w14:paraId="1E4DD649"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p>
        </w:tc>
        <w:tc>
          <w:tcPr>
            <w:tcW w:w="635" w:type="dxa"/>
            <w:shd w:val="clear" w:color="000000" w:fill="FFFFFF"/>
            <w:noWrap/>
            <w:vAlign w:val="center"/>
          </w:tcPr>
          <w:p w14:paraId="2B2281FE" w14:textId="77777777" w:rsidR="0001737D" w:rsidRPr="0001737D" w:rsidRDefault="0001737D" w:rsidP="0001737D">
            <w:pPr>
              <w:spacing w:after="0" w:line="240" w:lineRule="auto"/>
              <w:ind w:left="0" w:right="0" w:firstLine="0"/>
              <w:jc w:val="center"/>
              <w:rPr>
                <w:rFonts w:eastAsia="Times New Roman"/>
                <w:b/>
                <w:color w:val="auto"/>
                <w:szCs w:val="24"/>
                <w:lang w:val="es-ES" w:eastAsia="es-ES"/>
              </w:rPr>
            </w:pPr>
            <w:r w:rsidRPr="0001737D">
              <w:rPr>
                <w:rFonts w:eastAsia="Times New Roman"/>
                <w:b/>
                <w:bCs/>
                <w:color w:val="auto"/>
                <w:szCs w:val="24"/>
                <w:lang w:val="es-ES" w:eastAsia="es-ES"/>
              </w:rPr>
              <w:t>0.03</w:t>
            </w:r>
          </w:p>
        </w:tc>
        <w:tc>
          <w:tcPr>
            <w:tcW w:w="1244" w:type="dxa"/>
            <w:shd w:val="clear" w:color="000000" w:fill="FFFFFF"/>
            <w:noWrap/>
            <w:vAlign w:val="center"/>
          </w:tcPr>
          <w:p w14:paraId="65E1AE16" w14:textId="77777777" w:rsidR="0001737D" w:rsidRPr="0001737D" w:rsidRDefault="0001737D" w:rsidP="0001737D">
            <w:pPr>
              <w:spacing w:after="0" w:line="240" w:lineRule="auto"/>
              <w:ind w:left="0" w:right="0" w:firstLine="0"/>
              <w:jc w:val="center"/>
              <w:rPr>
                <w:rFonts w:eastAsia="Times New Roman"/>
                <w:b/>
                <w:color w:val="auto"/>
                <w:szCs w:val="24"/>
                <w:lang w:val="es-ES" w:eastAsia="es-ES"/>
              </w:rPr>
            </w:pPr>
            <w:r w:rsidRPr="0001737D">
              <w:rPr>
                <w:rFonts w:eastAsia="Times New Roman"/>
                <w:b/>
                <w:bCs/>
                <w:color w:val="auto"/>
                <w:szCs w:val="24"/>
                <w:lang w:val="es-ES" w:eastAsia="es-ES"/>
              </w:rPr>
              <w:t> </w:t>
            </w:r>
          </w:p>
        </w:tc>
        <w:tc>
          <w:tcPr>
            <w:tcW w:w="3544" w:type="dxa"/>
            <w:shd w:val="clear" w:color="auto" w:fill="FFFFFF"/>
            <w:vAlign w:val="center"/>
          </w:tcPr>
          <w:p w14:paraId="1DE06067" w14:textId="77777777" w:rsidR="0001737D" w:rsidRPr="0001737D" w:rsidRDefault="0001737D" w:rsidP="0001737D">
            <w:pPr>
              <w:spacing w:after="0" w:line="240" w:lineRule="auto"/>
              <w:ind w:left="0" w:right="0" w:firstLineChars="400" w:firstLine="964"/>
              <w:jc w:val="center"/>
              <w:rPr>
                <w:rFonts w:eastAsia="Times New Roman"/>
                <w:b/>
                <w:color w:val="auto"/>
                <w:szCs w:val="24"/>
                <w:lang w:val="es-ES" w:eastAsia="es-ES"/>
              </w:rPr>
            </w:pPr>
            <w:r w:rsidRPr="0001737D">
              <w:rPr>
                <w:rFonts w:eastAsia="Times New Roman"/>
                <w:b/>
                <w:bCs/>
                <w:color w:val="auto"/>
                <w:szCs w:val="24"/>
                <w:lang w:val="es-ES" w:eastAsia="es-ES"/>
              </w:rPr>
              <w:t>Financiamiento interno</w:t>
            </w:r>
          </w:p>
        </w:tc>
        <w:tc>
          <w:tcPr>
            <w:tcW w:w="1825" w:type="dxa"/>
            <w:shd w:val="clear" w:color="000000" w:fill="FFFFFF"/>
            <w:vAlign w:val="center"/>
          </w:tcPr>
          <w:p w14:paraId="43DF2429" w14:textId="77777777" w:rsidR="0001737D" w:rsidRPr="0001737D" w:rsidRDefault="0001737D" w:rsidP="0001737D">
            <w:pPr>
              <w:spacing w:after="0" w:line="240" w:lineRule="auto"/>
              <w:ind w:left="0" w:right="0" w:firstLine="0"/>
              <w:jc w:val="right"/>
              <w:rPr>
                <w:rFonts w:eastAsia="Times New Roman"/>
                <w:b/>
                <w:color w:val="auto"/>
                <w:szCs w:val="24"/>
                <w:lang w:val="es-ES" w:eastAsia="es-ES"/>
              </w:rPr>
            </w:pPr>
            <w:r w:rsidRPr="0001737D">
              <w:rPr>
                <w:rFonts w:eastAsia="Times New Roman"/>
                <w:b/>
                <w:bCs/>
                <w:color w:val="auto"/>
                <w:szCs w:val="24"/>
                <w:lang w:val="es-ES" w:eastAsia="es-ES"/>
              </w:rPr>
              <w:t>350,000,000.00</w:t>
            </w:r>
          </w:p>
        </w:tc>
      </w:tr>
      <w:tr w:rsidR="0001737D" w:rsidRPr="0001737D" w14:paraId="0BCFFF0D" w14:textId="77777777" w:rsidTr="00B114C3">
        <w:trPr>
          <w:gridAfter w:val="1"/>
          <w:wAfter w:w="18" w:type="dxa"/>
          <w:trHeight w:val="200"/>
        </w:trPr>
        <w:tc>
          <w:tcPr>
            <w:tcW w:w="459" w:type="dxa"/>
            <w:shd w:val="clear" w:color="000000" w:fill="FFFFFF"/>
            <w:noWrap/>
            <w:vAlign w:val="center"/>
          </w:tcPr>
          <w:p w14:paraId="290B8B21"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p>
        </w:tc>
        <w:tc>
          <w:tcPr>
            <w:tcW w:w="635" w:type="dxa"/>
            <w:shd w:val="clear" w:color="000000" w:fill="FFFFFF"/>
            <w:noWrap/>
            <w:vAlign w:val="center"/>
          </w:tcPr>
          <w:p w14:paraId="3AE54C1A"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color w:val="auto"/>
                <w:szCs w:val="24"/>
                <w:lang w:val="es-ES" w:eastAsia="es-ES"/>
              </w:rPr>
              <w:t> </w:t>
            </w:r>
          </w:p>
        </w:tc>
        <w:tc>
          <w:tcPr>
            <w:tcW w:w="1244" w:type="dxa"/>
            <w:shd w:val="clear" w:color="000000" w:fill="FFFFFF"/>
            <w:noWrap/>
            <w:vAlign w:val="center"/>
          </w:tcPr>
          <w:p w14:paraId="09A5567E" w14:textId="77777777" w:rsidR="0001737D" w:rsidRPr="0001737D" w:rsidRDefault="0001737D" w:rsidP="0001737D">
            <w:pPr>
              <w:spacing w:after="0" w:line="240" w:lineRule="auto"/>
              <w:ind w:left="0" w:right="0" w:firstLine="0"/>
              <w:jc w:val="center"/>
              <w:rPr>
                <w:rFonts w:eastAsia="Times New Roman"/>
                <w:color w:val="auto"/>
                <w:szCs w:val="24"/>
                <w:lang w:val="es-ES" w:eastAsia="es-ES"/>
              </w:rPr>
            </w:pPr>
            <w:r w:rsidRPr="0001737D">
              <w:rPr>
                <w:rFonts w:eastAsia="Times New Roman"/>
                <w:color w:val="auto"/>
                <w:szCs w:val="24"/>
                <w:lang w:val="es-ES" w:eastAsia="es-ES"/>
              </w:rPr>
              <w:t>0.03.1</w:t>
            </w:r>
          </w:p>
        </w:tc>
        <w:tc>
          <w:tcPr>
            <w:tcW w:w="3544" w:type="dxa"/>
            <w:shd w:val="clear" w:color="auto" w:fill="FFFFFF"/>
            <w:vAlign w:val="center"/>
          </w:tcPr>
          <w:p w14:paraId="26F3D978" w14:textId="77777777" w:rsidR="0001737D" w:rsidRPr="0001737D" w:rsidRDefault="0001737D" w:rsidP="0001737D">
            <w:pPr>
              <w:spacing w:after="0" w:line="240" w:lineRule="auto"/>
              <w:ind w:left="0" w:right="0" w:firstLineChars="400" w:firstLine="960"/>
              <w:jc w:val="center"/>
              <w:rPr>
                <w:rFonts w:eastAsia="Times New Roman"/>
                <w:color w:val="auto"/>
                <w:szCs w:val="24"/>
                <w:lang w:val="es-ES" w:eastAsia="es-ES"/>
              </w:rPr>
            </w:pPr>
            <w:r w:rsidRPr="0001737D">
              <w:rPr>
                <w:rFonts w:eastAsia="Times New Roman"/>
                <w:color w:val="auto"/>
                <w:szCs w:val="24"/>
                <w:lang w:val="es-ES" w:eastAsia="es-ES"/>
              </w:rPr>
              <w:t>Financiamiento interno</w:t>
            </w:r>
          </w:p>
        </w:tc>
        <w:tc>
          <w:tcPr>
            <w:tcW w:w="1825" w:type="dxa"/>
            <w:shd w:val="clear" w:color="000000" w:fill="FFFFFF"/>
            <w:vAlign w:val="center"/>
          </w:tcPr>
          <w:p w14:paraId="73EAA52F" w14:textId="77777777" w:rsidR="0001737D" w:rsidRPr="0001737D" w:rsidRDefault="0001737D" w:rsidP="0001737D">
            <w:pPr>
              <w:spacing w:after="0" w:line="240" w:lineRule="auto"/>
              <w:ind w:left="0" w:right="0" w:firstLine="0"/>
              <w:jc w:val="right"/>
              <w:rPr>
                <w:rFonts w:eastAsia="Times New Roman"/>
                <w:color w:val="auto"/>
                <w:szCs w:val="24"/>
                <w:lang w:val="es-ES" w:eastAsia="es-ES"/>
              </w:rPr>
            </w:pPr>
            <w:r w:rsidRPr="0001737D">
              <w:rPr>
                <w:rFonts w:eastAsia="Times New Roman"/>
                <w:color w:val="auto"/>
                <w:szCs w:val="24"/>
                <w:lang w:val="es-ES" w:eastAsia="es-ES"/>
              </w:rPr>
              <w:t>350,000,000.00</w:t>
            </w:r>
          </w:p>
        </w:tc>
      </w:tr>
    </w:tbl>
    <w:p w14:paraId="45785CAE" w14:textId="77777777" w:rsidR="0001737D" w:rsidRPr="0001737D" w:rsidRDefault="0001737D" w:rsidP="0001737D">
      <w:pPr>
        <w:spacing w:after="0" w:line="240" w:lineRule="auto"/>
        <w:ind w:left="0" w:right="0" w:firstLine="0"/>
        <w:rPr>
          <w:rFonts w:eastAsia="Calibri"/>
          <w:color w:val="auto"/>
          <w:szCs w:val="24"/>
          <w:lang w:eastAsia="en-US"/>
        </w:rPr>
      </w:pPr>
    </w:p>
    <w:p w14:paraId="35885993" w14:textId="77777777" w:rsidR="0001737D" w:rsidRPr="0001737D" w:rsidRDefault="0001737D" w:rsidP="0001737D">
      <w:pPr>
        <w:spacing w:after="0" w:line="240" w:lineRule="auto"/>
        <w:ind w:left="0" w:right="0" w:firstLine="0"/>
        <w:rPr>
          <w:rFonts w:eastAsia="Calibri"/>
          <w:color w:val="auto"/>
          <w:szCs w:val="24"/>
          <w:lang w:eastAsia="en-US"/>
        </w:rPr>
      </w:pPr>
      <w:r w:rsidRPr="0001737D">
        <w:rPr>
          <w:rFonts w:eastAsia="Calibri"/>
          <w:color w:val="auto"/>
          <w:szCs w:val="24"/>
          <w:lang w:eastAsia="en-US"/>
        </w:rPr>
        <w:t>…</w:t>
      </w:r>
    </w:p>
    <w:p w14:paraId="4AE1387D" w14:textId="77777777" w:rsidR="0001737D" w:rsidRPr="0001737D" w:rsidRDefault="0001737D" w:rsidP="0001737D">
      <w:pPr>
        <w:spacing w:after="0" w:line="240" w:lineRule="auto"/>
        <w:ind w:left="0" w:right="0" w:firstLine="0"/>
        <w:rPr>
          <w:rFonts w:eastAsia="Calibri"/>
          <w:color w:val="auto"/>
          <w:szCs w:val="24"/>
          <w:lang w:eastAsia="en-US"/>
        </w:rPr>
      </w:pPr>
    </w:p>
    <w:p w14:paraId="3D40F651"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ARTÍCULO 4.-</w:t>
      </w:r>
      <w:r w:rsidRPr="0001737D">
        <w:rPr>
          <w:rFonts w:eastAsia="Calibri"/>
          <w:color w:val="auto"/>
          <w:szCs w:val="24"/>
          <w:lang w:eastAsia="en-US"/>
        </w:rPr>
        <w:t xml:space="preserve"> El total de ingresos para el ejercicio fiscal 2022 será de </w:t>
      </w:r>
      <w:r w:rsidRPr="0001737D">
        <w:rPr>
          <w:rFonts w:eastAsia="Calibri"/>
          <w:b/>
          <w:color w:val="auto"/>
          <w:szCs w:val="24"/>
          <w:lang w:eastAsia="en-US"/>
        </w:rPr>
        <w:t>$ 4</w:t>
      </w:r>
      <w:proofErr w:type="gramStart"/>
      <w:r w:rsidRPr="0001737D">
        <w:rPr>
          <w:rFonts w:eastAsia="Calibri"/>
          <w:b/>
          <w:color w:val="auto"/>
          <w:szCs w:val="24"/>
          <w:lang w:eastAsia="en-US"/>
        </w:rPr>
        <w:t>,647,811,917.00</w:t>
      </w:r>
      <w:proofErr w:type="gramEnd"/>
      <w:r w:rsidRPr="0001737D">
        <w:rPr>
          <w:rFonts w:eastAsia="Calibri"/>
          <w:color w:val="auto"/>
          <w:szCs w:val="24"/>
          <w:lang w:eastAsia="en-US"/>
        </w:rPr>
        <w:t xml:space="preserve"> son: </w:t>
      </w:r>
      <w:r w:rsidRPr="0001737D">
        <w:rPr>
          <w:rFonts w:eastAsia="Calibri"/>
          <w:b/>
          <w:color w:val="auto"/>
          <w:szCs w:val="24"/>
          <w:lang w:eastAsia="en-US"/>
        </w:rPr>
        <w:t>CUATRO MIL, SEISCIENTOS CUARENTA Y SIETE MILLONES, OCHOCIENTOS ONCE MIL, NOVECIENTOS DIECISIETE PESOS, CERO CENTAVOS, MONEDA NACIONAL.</w:t>
      </w:r>
    </w:p>
    <w:p w14:paraId="00365247" w14:textId="77777777" w:rsidR="0001737D" w:rsidRPr="0001737D" w:rsidRDefault="0001737D" w:rsidP="0001737D">
      <w:pPr>
        <w:spacing w:after="0" w:line="240" w:lineRule="auto"/>
        <w:ind w:left="0" w:right="0" w:firstLine="0"/>
        <w:rPr>
          <w:rFonts w:eastAsia="Calibri"/>
          <w:color w:val="auto"/>
          <w:szCs w:val="24"/>
          <w:lang w:eastAsia="en-US"/>
        </w:rPr>
      </w:pPr>
    </w:p>
    <w:p w14:paraId="3EFF20E5" w14:textId="77777777" w:rsidR="0001737D" w:rsidRPr="0001737D" w:rsidRDefault="0001737D" w:rsidP="0001737D">
      <w:pPr>
        <w:spacing w:after="0" w:line="240" w:lineRule="auto"/>
        <w:ind w:left="0" w:right="0" w:firstLine="0"/>
        <w:jc w:val="center"/>
        <w:rPr>
          <w:rFonts w:eastAsia="Calibri"/>
          <w:b/>
          <w:color w:val="auto"/>
          <w:szCs w:val="24"/>
          <w:lang w:eastAsia="en-US"/>
        </w:rPr>
      </w:pPr>
      <w:r w:rsidRPr="0001737D">
        <w:rPr>
          <w:rFonts w:eastAsia="Calibri"/>
          <w:b/>
          <w:color w:val="auto"/>
          <w:szCs w:val="24"/>
          <w:lang w:eastAsia="en-US"/>
        </w:rPr>
        <w:t>Transitorios:</w:t>
      </w:r>
    </w:p>
    <w:p w14:paraId="5C9DC663" w14:textId="77777777" w:rsidR="0001737D" w:rsidRPr="0001737D" w:rsidRDefault="0001737D" w:rsidP="0001737D">
      <w:pPr>
        <w:spacing w:after="0" w:line="240" w:lineRule="auto"/>
        <w:ind w:left="0" w:right="0" w:firstLine="0"/>
        <w:rPr>
          <w:rFonts w:eastAsia="Calibri"/>
          <w:color w:val="auto"/>
          <w:szCs w:val="24"/>
          <w:lang w:eastAsia="en-US"/>
        </w:rPr>
      </w:pPr>
    </w:p>
    <w:p w14:paraId="2BD099FC" w14:textId="77777777"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 xml:space="preserve">Artículo primero. Entrada en vigor </w:t>
      </w:r>
    </w:p>
    <w:p w14:paraId="7CB0201A" w14:textId="77777777" w:rsidR="0001737D" w:rsidRPr="0001737D" w:rsidRDefault="0001737D" w:rsidP="0001737D">
      <w:pPr>
        <w:spacing w:after="0" w:line="240" w:lineRule="auto"/>
        <w:ind w:left="0" w:right="0" w:firstLine="0"/>
        <w:rPr>
          <w:rFonts w:eastAsia="Calibri"/>
          <w:color w:val="auto"/>
          <w:szCs w:val="24"/>
          <w:lang w:eastAsia="en-US"/>
        </w:rPr>
      </w:pPr>
    </w:p>
    <w:p w14:paraId="0BCC7132" w14:textId="77777777" w:rsidR="0001737D" w:rsidRPr="0001737D" w:rsidRDefault="0001737D" w:rsidP="0001737D">
      <w:pPr>
        <w:spacing w:after="0" w:line="240" w:lineRule="auto"/>
        <w:ind w:left="0" w:right="0" w:firstLine="708"/>
        <w:rPr>
          <w:rFonts w:eastAsia="Calibri"/>
          <w:color w:val="auto"/>
          <w:szCs w:val="24"/>
          <w:lang w:eastAsia="en-US"/>
        </w:rPr>
      </w:pPr>
      <w:r w:rsidRPr="0001737D">
        <w:rPr>
          <w:rFonts w:eastAsia="Calibri"/>
          <w:color w:val="auto"/>
          <w:szCs w:val="24"/>
          <w:lang w:eastAsia="en-US"/>
        </w:rPr>
        <w:t>Este decreto entrará en vigor el día siguiente al de su publicación en el Diario Oficial del Gobierno del Estado de Yucatán.</w:t>
      </w:r>
    </w:p>
    <w:p w14:paraId="3D1F466F" w14:textId="77777777" w:rsidR="0001737D" w:rsidRPr="0001737D" w:rsidRDefault="0001737D" w:rsidP="0001737D">
      <w:pPr>
        <w:spacing w:after="0" w:line="240" w:lineRule="auto"/>
        <w:ind w:left="0" w:right="0" w:firstLine="0"/>
        <w:jc w:val="left"/>
        <w:rPr>
          <w:rFonts w:eastAsia="Times New Roman"/>
          <w:color w:val="auto"/>
          <w:szCs w:val="24"/>
          <w:lang w:eastAsia="es-ES"/>
        </w:rPr>
      </w:pPr>
    </w:p>
    <w:p w14:paraId="73DDDDCC" w14:textId="77777777" w:rsidR="0001737D" w:rsidRPr="0001737D" w:rsidRDefault="0001737D" w:rsidP="0001737D">
      <w:pPr>
        <w:spacing w:after="0" w:line="240" w:lineRule="auto"/>
        <w:ind w:left="0" w:right="0" w:firstLine="0"/>
        <w:jc w:val="left"/>
        <w:rPr>
          <w:rFonts w:eastAsia="Times New Roman"/>
          <w:color w:val="auto"/>
          <w:szCs w:val="24"/>
          <w:lang w:eastAsia="es-ES"/>
        </w:rPr>
      </w:pPr>
    </w:p>
    <w:p w14:paraId="2192D445" w14:textId="77777777" w:rsidR="0001737D" w:rsidRPr="0001737D" w:rsidRDefault="0001737D" w:rsidP="0001737D">
      <w:pPr>
        <w:spacing w:after="0" w:line="240" w:lineRule="auto"/>
        <w:ind w:left="0" w:right="0" w:firstLine="0"/>
        <w:jc w:val="left"/>
        <w:rPr>
          <w:rFonts w:eastAsia="Times New Roman"/>
          <w:color w:val="auto"/>
          <w:szCs w:val="24"/>
          <w:lang w:eastAsia="es-ES"/>
        </w:rPr>
      </w:pPr>
    </w:p>
    <w:p w14:paraId="18E629F8" w14:textId="3475603C" w:rsidR="0001737D" w:rsidRPr="0001737D" w:rsidRDefault="0001737D" w:rsidP="0001737D">
      <w:pPr>
        <w:spacing w:after="0" w:line="240" w:lineRule="auto"/>
        <w:ind w:left="0" w:right="0" w:firstLine="0"/>
        <w:rPr>
          <w:rFonts w:eastAsia="Calibri"/>
          <w:b/>
          <w:color w:val="auto"/>
          <w:szCs w:val="24"/>
          <w:lang w:eastAsia="en-US"/>
        </w:rPr>
      </w:pPr>
      <w:r w:rsidRPr="0001737D">
        <w:rPr>
          <w:rFonts w:eastAsia="Calibri"/>
          <w:b/>
          <w:color w:val="auto"/>
          <w:szCs w:val="24"/>
          <w:lang w:eastAsia="en-US"/>
        </w:rPr>
        <w:t xml:space="preserve">Artículo segundo. </w:t>
      </w:r>
      <w:bookmarkStart w:id="0" w:name="_GoBack"/>
      <w:bookmarkEnd w:id="0"/>
      <w:r w:rsidR="005A6E16" w:rsidRPr="0001737D">
        <w:rPr>
          <w:rFonts w:eastAsia="Calibri"/>
          <w:b/>
          <w:color w:val="auto"/>
          <w:szCs w:val="24"/>
          <w:lang w:eastAsia="en-US"/>
        </w:rPr>
        <w:t>Aprobación</w:t>
      </w:r>
      <w:r w:rsidRPr="0001737D">
        <w:rPr>
          <w:rFonts w:eastAsia="Calibri"/>
          <w:b/>
          <w:color w:val="auto"/>
          <w:szCs w:val="24"/>
          <w:lang w:eastAsia="en-US"/>
        </w:rPr>
        <w:t xml:space="preserve"> </w:t>
      </w:r>
    </w:p>
    <w:p w14:paraId="50E4CCD5" w14:textId="77777777" w:rsidR="0001737D" w:rsidRPr="0001737D" w:rsidRDefault="0001737D" w:rsidP="0001737D">
      <w:pPr>
        <w:spacing w:after="0" w:line="240" w:lineRule="auto"/>
        <w:ind w:left="0" w:right="0" w:firstLine="0"/>
        <w:jc w:val="left"/>
        <w:rPr>
          <w:rFonts w:eastAsia="Times New Roman"/>
          <w:color w:val="auto"/>
          <w:szCs w:val="24"/>
          <w:lang w:eastAsia="es-ES"/>
        </w:rPr>
      </w:pPr>
    </w:p>
    <w:p w14:paraId="7492FAFE" w14:textId="77777777" w:rsidR="0001737D" w:rsidRPr="0001737D" w:rsidRDefault="0001737D" w:rsidP="0001737D">
      <w:pPr>
        <w:spacing w:after="0" w:line="240" w:lineRule="auto"/>
        <w:ind w:left="0" w:right="0" w:firstLine="708"/>
        <w:rPr>
          <w:rFonts w:eastAsia="Times New Roman"/>
          <w:color w:val="auto"/>
          <w:szCs w:val="24"/>
          <w:lang w:eastAsia="es-ES"/>
        </w:rPr>
      </w:pPr>
      <w:r w:rsidRPr="0001737D">
        <w:rPr>
          <w:rFonts w:eastAsia="Times New Roman"/>
          <w:color w:val="auto"/>
          <w:szCs w:val="24"/>
          <w:lang w:eastAsia="es-ES"/>
        </w:rPr>
        <w:t>El presente decreto fue aprobado por el voto de, al menos, las dos terceras partes de los Diputados presentes, de conformidad con lo que establecen los artículos 117, fracción VIII, párrafo tercero, de la Constitución Política de los Estados Unidos Mexicanos, y 23, párrafo primero, de la Ley de Disciplina Financiera de las Entidades Federativas y los Municipios, así como por el artículo 30 fracción VIII Bis de la Constitución Política del Estado Libre y Soberano de Yucatán y 5, fracción II de la Ley de Deuda Pública del Estado de Yucatán.</w:t>
      </w:r>
    </w:p>
    <w:p w14:paraId="5DA51E0D" w14:textId="77777777" w:rsidR="0007113A" w:rsidRPr="0007113A" w:rsidRDefault="0007113A" w:rsidP="0007113A">
      <w:pPr>
        <w:spacing w:after="0" w:line="240" w:lineRule="auto"/>
        <w:ind w:left="0"/>
        <w:rPr>
          <w:b/>
          <w:sz w:val="22"/>
        </w:rPr>
      </w:pPr>
    </w:p>
    <w:p w14:paraId="3E6A2C57" w14:textId="77777777" w:rsidR="0007113A" w:rsidRPr="0007113A" w:rsidRDefault="0007113A" w:rsidP="0007113A">
      <w:pPr>
        <w:tabs>
          <w:tab w:val="left" w:pos="4678"/>
        </w:tabs>
        <w:spacing w:after="0" w:line="240" w:lineRule="auto"/>
        <w:ind w:left="0" w:right="0" w:hanging="11"/>
        <w:rPr>
          <w:b/>
          <w:sz w:val="22"/>
        </w:rPr>
      </w:pPr>
    </w:p>
    <w:p w14:paraId="136E2A98" w14:textId="24776A26" w:rsidR="00360FAE" w:rsidRPr="0007113A" w:rsidRDefault="00360FAE" w:rsidP="0007113A">
      <w:pPr>
        <w:tabs>
          <w:tab w:val="left" w:pos="4678"/>
        </w:tabs>
        <w:spacing w:after="0" w:line="240" w:lineRule="auto"/>
        <w:ind w:left="0" w:right="0" w:hanging="11"/>
        <w:rPr>
          <w:b/>
          <w:bCs/>
          <w:sz w:val="22"/>
        </w:rPr>
      </w:pPr>
      <w:r w:rsidRPr="0007113A">
        <w:rPr>
          <w:b/>
          <w:bCs/>
          <w:sz w:val="22"/>
        </w:rPr>
        <w:t xml:space="preserve">DADO EN LA SEDE DEL RECINTO DEL PODER LEGISLATIVO EN LA CIUDAD DE MÉRIDA, YUCATÁN, ESTADOS UNIDOS MEXICANOS A LOS </w:t>
      </w:r>
      <w:r w:rsidR="0001737D">
        <w:rPr>
          <w:b/>
          <w:bCs/>
          <w:sz w:val="22"/>
        </w:rPr>
        <w:t>TREINTA</w:t>
      </w:r>
      <w:r w:rsidR="0007113A" w:rsidRPr="0007113A">
        <w:rPr>
          <w:b/>
          <w:bCs/>
          <w:sz w:val="22"/>
        </w:rPr>
        <w:t xml:space="preserve"> </w:t>
      </w:r>
      <w:r w:rsidR="00B06DA7" w:rsidRPr="0007113A">
        <w:rPr>
          <w:b/>
          <w:bCs/>
          <w:sz w:val="22"/>
        </w:rPr>
        <w:t>DÍAS DEL MES DE JUNIO</w:t>
      </w:r>
      <w:r w:rsidRPr="0007113A">
        <w:rPr>
          <w:b/>
          <w:bCs/>
          <w:sz w:val="22"/>
        </w:rPr>
        <w:t xml:space="preserve"> DEL AÑO DOS MIL VEINTIDÓS.</w:t>
      </w:r>
    </w:p>
    <w:p w14:paraId="069069C2" w14:textId="77777777" w:rsidR="00062A97" w:rsidRPr="0007113A" w:rsidRDefault="00062A97" w:rsidP="0007113A">
      <w:pPr>
        <w:tabs>
          <w:tab w:val="left" w:pos="4678"/>
        </w:tabs>
        <w:spacing w:after="0" w:line="240" w:lineRule="auto"/>
        <w:ind w:left="0" w:right="0" w:hanging="11"/>
        <w:rPr>
          <w:sz w:val="22"/>
        </w:rPr>
      </w:pPr>
    </w:p>
    <w:p w14:paraId="0464BA3A" w14:textId="77777777" w:rsidR="00360FAE" w:rsidRPr="0007113A" w:rsidRDefault="00360FAE" w:rsidP="0007113A">
      <w:pPr>
        <w:spacing w:after="0" w:line="240" w:lineRule="auto"/>
        <w:ind w:left="0" w:right="0"/>
        <w:jc w:val="center"/>
        <w:rPr>
          <w:b/>
          <w:caps/>
          <w:sz w:val="22"/>
        </w:rPr>
      </w:pPr>
    </w:p>
    <w:p w14:paraId="2748EE9B" w14:textId="78FAF040" w:rsidR="00360FAE" w:rsidRPr="0007113A" w:rsidRDefault="00D65D63" w:rsidP="0007113A">
      <w:pPr>
        <w:spacing w:after="0" w:line="240" w:lineRule="auto"/>
        <w:ind w:left="0" w:right="0" w:hanging="11"/>
        <w:jc w:val="center"/>
        <w:rPr>
          <w:b/>
          <w:sz w:val="22"/>
        </w:rPr>
      </w:pPr>
      <w:r w:rsidRPr="0007113A">
        <w:rPr>
          <w:b/>
          <w:sz w:val="22"/>
        </w:rPr>
        <w:t>PRESIDENTA</w:t>
      </w:r>
    </w:p>
    <w:p w14:paraId="33F6783E" w14:textId="77777777" w:rsidR="00360FAE" w:rsidRPr="0007113A" w:rsidRDefault="00360FAE" w:rsidP="0007113A">
      <w:pPr>
        <w:spacing w:after="0" w:line="240" w:lineRule="auto"/>
        <w:ind w:left="0" w:right="0" w:hanging="11"/>
        <w:jc w:val="center"/>
        <w:rPr>
          <w:b/>
          <w:sz w:val="22"/>
        </w:rPr>
      </w:pPr>
    </w:p>
    <w:p w14:paraId="116FA463" w14:textId="77777777" w:rsidR="00360FAE" w:rsidRPr="0007113A" w:rsidRDefault="00360FAE" w:rsidP="0007113A">
      <w:pPr>
        <w:spacing w:after="0" w:line="240" w:lineRule="auto"/>
        <w:ind w:left="0" w:right="0" w:hanging="11"/>
        <w:jc w:val="center"/>
        <w:rPr>
          <w:b/>
          <w:sz w:val="22"/>
        </w:rPr>
      </w:pPr>
    </w:p>
    <w:p w14:paraId="030236D8" w14:textId="77777777" w:rsidR="00360FAE" w:rsidRPr="0007113A" w:rsidRDefault="00360FAE" w:rsidP="0007113A">
      <w:pPr>
        <w:spacing w:after="0" w:line="240" w:lineRule="auto"/>
        <w:ind w:left="0" w:right="0" w:hanging="11"/>
        <w:jc w:val="center"/>
        <w:rPr>
          <w:b/>
          <w:sz w:val="22"/>
        </w:rPr>
      </w:pPr>
    </w:p>
    <w:p w14:paraId="06FEBDE3" w14:textId="77777777" w:rsidR="00360FAE" w:rsidRPr="0007113A" w:rsidRDefault="00360FAE" w:rsidP="0007113A">
      <w:pPr>
        <w:spacing w:after="0" w:line="240" w:lineRule="auto"/>
        <w:ind w:left="0" w:right="0" w:hanging="11"/>
        <w:jc w:val="center"/>
        <w:rPr>
          <w:b/>
          <w:sz w:val="22"/>
        </w:rPr>
      </w:pPr>
      <w:r w:rsidRPr="0007113A">
        <w:rPr>
          <w:b/>
          <w:sz w:val="22"/>
        </w:rPr>
        <w:t>DIP. INGRID DEL PILAR SANTOS DÍAZ.</w:t>
      </w:r>
    </w:p>
    <w:p w14:paraId="75C75088" w14:textId="77777777" w:rsidR="00360FAE" w:rsidRPr="0007113A" w:rsidRDefault="00360FAE" w:rsidP="0007113A">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07113A" w14:paraId="3E2F9337" w14:textId="77777777" w:rsidTr="0018503A">
        <w:trPr>
          <w:trHeight w:val="1215"/>
          <w:jc w:val="center"/>
        </w:trPr>
        <w:tc>
          <w:tcPr>
            <w:tcW w:w="5032" w:type="dxa"/>
          </w:tcPr>
          <w:p w14:paraId="7A696289" w14:textId="1D2A1C82" w:rsidR="00360FAE" w:rsidRPr="0007113A" w:rsidRDefault="00D65D63" w:rsidP="0007113A">
            <w:pPr>
              <w:spacing w:after="0" w:line="240" w:lineRule="auto"/>
              <w:ind w:left="0" w:right="0" w:hanging="11"/>
              <w:jc w:val="center"/>
              <w:rPr>
                <w:b/>
                <w:sz w:val="22"/>
              </w:rPr>
            </w:pPr>
            <w:r w:rsidRPr="0007113A">
              <w:rPr>
                <w:b/>
                <w:sz w:val="22"/>
              </w:rPr>
              <w:t>SECRETARIO</w:t>
            </w:r>
          </w:p>
          <w:p w14:paraId="37F61D54" w14:textId="77777777" w:rsidR="00360FAE" w:rsidRPr="0007113A" w:rsidRDefault="00360FAE" w:rsidP="0007113A">
            <w:pPr>
              <w:spacing w:after="0" w:line="240" w:lineRule="auto"/>
              <w:ind w:left="0" w:right="0" w:hanging="11"/>
              <w:jc w:val="center"/>
              <w:rPr>
                <w:b/>
                <w:sz w:val="22"/>
              </w:rPr>
            </w:pPr>
          </w:p>
          <w:p w14:paraId="77CFE738" w14:textId="77777777" w:rsidR="00360FAE" w:rsidRPr="0007113A" w:rsidRDefault="00360FAE" w:rsidP="0007113A">
            <w:pPr>
              <w:spacing w:after="0" w:line="240" w:lineRule="auto"/>
              <w:ind w:left="0" w:right="0" w:hanging="11"/>
              <w:jc w:val="center"/>
              <w:rPr>
                <w:b/>
                <w:sz w:val="22"/>
              </w:rPr>
            </w:pPr>
          </w:p>
          <w:p w14:paraId="7DE64906" w14:textId="77777777" w:rsidR="00360FAE" w:rsidRPr="0007113A" w:rsidRDefault="00360FAE" w:rsidP="0007113A">
            <w:pPr>
              <w:spacing w:after="0" w:line="240" w:lineRule="auto"/>
              <w:ind w:left="0" w:right="0" w:hanging="11"/>
              <w:jc w:val="center"/>
              <w:rPr>
                <w:b/>
                <w:sz w:val="22"/>
              </w:rPr>
            </w:pPr>
          </w:p>
          <w:p w14:paraId="068C6AC9" w14:textId="77777777" w:rsidR="00360FAE" w:rsidRPr="0007113A" w:rsidRDefault="00360FAE" w:rsidP="0007113A">
            <w:pPr>
              <w:spacing w:after="0" w:line="240" w:lineRule="auto"/>
              <w:ind w:left="0" w:right="0" w:hanging="11"/>
              <w:jc w:val="center"/>
              <w:rPr>
                <w:b/>
                <w:bCs/>
                <w:sz w:val="22"/>
              </w:rPr>
            </w:pPr>
            <w:r w:rsidRPr="0007113A">
              <w:rPr>
                <w:b/>
                <w:sz w:val="22"/>
              </w:rPr>
              <w:t xml:space="preserve">DIP. </w:t>
            </w:r>
            <w:r w:rsidRPr="0007113A">
              <w:rPr>
                <w:b/>
                <w:bCs/>
                <w:sz w:val="22"/>
              </w:rPr>
              <w:t xml:space="preserve">RAÚL ANTONIO ROMERO </w:t>
            </w:r>
          </w:p>
          <w:p w14:paraId="53E96162" w14:textId="77777777" w:rsidR="00360FAE" w:rsidRPr="0007113A" w:rsidRDefault="00360FAE" w:rsidP="0007113A">
            <w:pPr>
              <w:spacing w:after="0" w:line="240" w:lineRule="auto"/>
              <w:ind w:left="0" w:right="0" w:hanging="11"/>
              <w:jc w:val="center"/>
              <w:rPr>
                <w:b/>
                <w:sz w:val="22"/>
              </w:rPr>
            </w:pPr>
            <w:r w:rsidRPr="0007113A">
              <w:rPr>
                <w:b/>
                <w:bCs/>
                <w:sz w:val="22"/>
              </w:rPr>
              <w:t>CHEL</w:t>
            </w:r>
            <w:r w:rsidRPr="0007113A">
              <w:rPr>
                <w:b/>
                <w:sz w:val="22"/>
              </w:rPr>
              <w:t>.</w:t>
            </w:r>
          </w:p>
        </w:tc>
        <w:tc>
          <w:tcPr>
            <w:tcW w:w="4831" w:type="dxa"/>
          </w:tcPr>
          <w:p w14:paraId="3B49C791" w14:textId="3E640A33" w:rsidR="00360FAE" w:rsidRPr="0007113A" w:rsidRDefault="00665D44" w:rsidP="0007113A">
            <w:pPr>
              <w:spacing w:after="0" w:line="240" w:lineRule="auto"/>
              <w:ind w:left="0" w:right="0" w:hanging="11"/>
              <w:jc w:val="center"/>
              <w:rPr>
                <w:b/>
                <w:sz w:val="22"/>
              </w:rPr>
            </w:pPr>
            <w:r w:rsidRPr="0007113A">
              <w:rPr>
                <w:b/>
                <w:sz w:val="22"/>
              </w:rPr>
              <w:t>SECRETARIA</w:t>
            </w:r>
          </w:p>
          <w:p w14:paraId="1879CCC9" w14:textId="77777777" w:rsidR="00360FAE" w:rsidRPr="0007113A" w:rsidRDefault="00360FAE" w:rsidP="0007113A">
            <w:pPr>
              <w:spacing w:after="0" w:line="240" w:lineRule="auto"/>
              <w:ind w:left="0" w:right="0" w:hanging="11"/>
              <w:jc w:val="center"/>
              <w:rPr>
                <w:b/>
                <w:sz w:val="22"/>
              </w:rPr>
            </w:pPr>
          </w:p>
          <w:p w14:paraId="13B1FCF6" w14:textId="77777777" w:rsidR="00360FAE" w:rsidRPr="0007113A" w:rsidRDefault="00360FAE" w:rsidP="0007113A">
            <w:pPr>
              <w:spacing w:after="0" w:line="240" w:lineRule="auto"/>
              <w:ind w:left="0" w:right="0" w:hanging="11"/>
              <w:jc w:val="center"/>
              <w:rPr>
                <w:b/>
                <w:sz w:val="22"/>
              </w:rPr>
            </w:pPr>
          </w:p>
          <w:p w14:paraId="2E4216DA" w14:textId="77777777" w:rsidR="00360FAE" w:rsidRPr="0007113A" w:rsidRDefault="00360FAE" w:rsidP="0007113A">
            <w:pPr>
              <w:spacing w:after="0" w:line="240" w:lineRule="auto"/>
              <w:ind w:left="0" w:right="0" w:hanging="11"/>
              <w:jc w:val="center"/>
              <w:rPr>
                <w:b/>
                <w:sz w:val="22"/>
              </w:rPr>
            </w:pPr>
          </w:p>
          <w:p w14:paraId="3873667D" w14:textId="70BA44A2" w:rsidR="00360FAE" w:rsidRPr="0007113A" w:rsidRDefault="00360FAE" w:rsidP="0007113A">
            <w:pPr>
              <w:spacing w:after="0" w:line="240" w:lineRule="auto"/>
              <w:ind w:left="0" w:right="0" w:hanging="11"/>
              <w:jc w:val="center"/>
              <w:rPr>
                <w:b/>
                <w:sz w:val="22"/>
              </w:rPr>
            </w:pPr>
            <w:r w:rsidRPr="0007113A">
              <w:rPr>
                <w:b/>
                <w:sz w:val="22"/>
              </w:rPr>
              <w:t xml:space="preserve">DIP. </w:t>
            </w:r>
            <w:r w:rsidR="00665D44" w:rsidRPr="0007113A">
              <w:rPr>
                <w:b/>
                <w:sz w:val="22"/>
              </w:rPr>
              <w:t>ALEJANDRA DE LOS ÁNGELES NOVELO SEGURA</w:t>
            </w:r>
            <w:r w:rsidRPr="0007113A">
              <w:rPr>
                <w:b/>
                <w:sz w:val="22"/>
              </w:rPr>
              <w:t>.</w:t>
            </w:r>
          </w:p>
        </w:tc>
      </w:tr>
    </w:tbl>
    <w:p w14:paraId="422F7B99" w14:textId="77777777" w:rsidR="00360FAE" w:rsidRPr="0007113A" w:rsidRDefault="00360FAE" w:rsidP="0007113A">
      <w:pPr>
        <w:autoSpaceDE w:val="0"/>
        <w:autoSpaceDN w:val="0"/>
        <w:adjustRightInd w:val="0"/>
        <w:spacing w:after="0" w:line="240" w:lineRule="auto"/>
        <w:ind w:left="0"/>
        <w:rPr>
          <w:sz w:val="22"/>
        </w:rPr>
      </w:pPr>
    </w:p>
    <w:sectPr w:rsidR="00360FAE" w:rsidRPr="0007113A"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A6E16" w:rsidRPr="005A6E16">
          <w:rPr>
            <w:rFonts w:ascii="Arial" w:hAnsi="Arial" w:cs="Arial"/>
            <w:noProof/>
            <w:lang w:val="es-ES"/>
          </w:rPr>
          <w:t>6</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F51E8"/>
    <w:multiLevelType w:val="multilevel"/>
    <w:tmpl w:val="2FB23846"/>
    <w:lvl w:ilvl="0">
      <w:start w:val="20"/>
      <w:numFmt w:val="upperRoman"/>
      <w:lvlText w:val="%1.-"/>
      <w:lvlJc w:val="left"/>
      <w:pPr>
        <w:ind w:left="143" w:firstLine="397"/>
      </w:pPr>
      <w:rPr>
        <w:rFonts w:hint="default"/>
        <w:b/>
        <w:i w:val="0"/>
      </w:rPr>
    </w:lvl>
    <w:lvl w:ilvl="1">
      <w:start w:val="1"/>
      <w:numFmt w:val="lowerLetter"/>
      <w:lvlText w:val="%2."/>
      <w:lvlJc w:val="left"/>
      <w:pPr>
        <w:ind w:left="1583" w:hanging="360"/>
      </w:pPr>
      <w:rPr>
        <w:rFonts w:hint="default"/>
      </w:rPr>
    </w:lvl>
    <w:lvl w:ilvl="2">
      <w:start w:val="1"/>
      <w:numFmt w:val="lowerRoman"/>
      <w:lvlText w:val="%3."/>
      <w:lvlJc w:val="right"/>
      <w:pPr>
        <w:ind w:left="2303" w:hanging="180"/>
      </w:pPr>
      <w:rPr>
        <w:rFonts w:hint="default"/>
      </w:rPr>
    </w:lvl>
    <w:lvl w:ilvl="3">
      <w:start w:val="1"/>
      <w:numFmt w:val="decimal"/>
      <w:lvlText w:val="%4."/>
      <w:lvlJc w:val="left"/>
      <w:pPr>
        <w:ind w:left="3023" w:hanging="360"/>
      </w:pPr>
      <w:rPr>
        <w:rFonts w:hint="default"/>
      </w:rPr>
    </w:lvl>
    <w:lvl w:ilvl="4">
      <w:start w:val="1"/>
      <w:numFmt w:val="lowerLetter"/>
      <w:lvlText w:val="%5."/>
      <w:lvlJc w:val="left"/>
      <w:pPr>
        <w:ind w:left="3743" w:hanging="360"/>
      </w:pPr>
      <w:rPr>
        <w:rFonts w:hint="default"/>
      </w:rPr>
    </w:lvl>
    <w:lvl w:ilvl="5">
      <w:start w:val="1"/>
      <w:numFmt w:val="lowerRoman"/>
      <w:lvlText w:val="%6."/>
      <w:lvlJc w:val="right"/>
      <w:pPr>
        <w:ind w:left="4463" w:hanging="180"/>
      </w:pPr>
      <w:rPr>
        <w:rFonts w:hint="default"/>
      </w:rPr>
    </w:lvl>
    <w:lvl w:ilvl="6">
      <w:start w:val="1"/>
      <w:numFmt w:val="decimal"/>
      <w:lvlText w:val="%7."/>
      <w:lvlJc w:val="left"/>
      <w:pPr>
        <w:ind w:left="5183" w:hanging="360"/>
      </w:pPr>
      <w:rPr>
        <w:rFonts w:hint="default"/>
      </w:rPr>
    </w:lvl>
    <w:lvl w:ilvl="7">
      <w:start w:val="1"/>
      <w:numFmt w:val="lowerLetter"/>
      <w:lvlText w:val="%8."/>
      <w:lvlJc w:val="left"/>
      <w:pPr>
        <w:ind w:left="5903" w:hanging="360"/>
      </w:pPr>
      <w:rPr>
        <w:rFonts w:hint="default"/>
      </w:rPr>
    </w:lvl>
    <w:lvl w:ilvl="8">
      <w:start w:val="1"/>
      <w:numFmt w:val="lowerRoman"/>
      <w:lvlText w:val="%9."/>
      <w:lvlJc w:val="right"/>
      <w:pPr>
        <w:ind w:left="6623" w:hanging="180"/>
      </w:pPr>
      <w:rPr>
        <w:rFonts w:hint="default"/>
      </w:rPr>
    </w:lvl>
  </w:abstractNum>
  <w:abstractNum w:abstractNumId="1"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936C40"/>
    <w:multiLevelType w:val="multilevel"/>
    <w:tmpl w:val="9DE856E0"/>
    <w:lvl w:ilvl="0">
      <w:start w:val="1"/>
      <w:numFmt w:val="lowerRoman"/>
      <w:lvlText w:val="%1)"/>
      <w:lvlJc w:val="left"/>
      <w:pPr>
        <w:ind w:left="1365" w:hanging="72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 w15:restartNumberingAfterBreak="0">
    <w:nsid w:val="79E4040B"/>
    <w:multiLevelType w:val="hybridMultilevel"/>
    <w:tmpl w:val="E05EFF3A"/>
    <w:lvl w:ilvl="0" w:tplc="55342A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7E5401"/>
    <w:multiLevelType w:val="hybridMultilevel"/>
    <w:tmpl w:val="39A00A76"/>
    <w:lvl w:ilvl="0" w:tplc="B906BC2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num w:numId="1">
    <w:abstractNumId w:val="4"/>
  </w:num>
  <w:num w:numId="2">
    <w:abstractNumId w:val="2"/>
  </w:num>
  <w:num w:numId="3">
    <w:abstractNumId w:val="0"/>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5EDA"/>
    <w:rsid w:val="0001737D"/>
    <w:rsid w:val="000178FF"/>
    <w:rsid w:val="0002052A"/>
    <w:rsid w:val="00020F83"/>
    <w:rsid w:val="00020F85"/>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A97"/>
    <w:rsid w:val="00062E48"/>
    <w:rsid w:val="00063F97"/>
    <w:rsid w:val="00070B5E"/>
    <w:rsid w:val="0007113A"/>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429E"/>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1D8C"/>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15A"/>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3FD2"/>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3FB"/>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3211"/>
    <w:rsid w:val="002C79F3"/>
    <w:rsid w:val="002D21AA"/>
    <w:rsid w:val="002D2386"/>
    <w:rsid w:val="002D33B7"/>
    <w:rsid w:val="002D36C1"/>
    <w:rsid w:val="002D4277"/>
    <w:rsid w:val="002D46A3"/>
    <w:rsid w:val="002D61B2"/>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0062"/>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496"/>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6C5"/>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510E"/>
    <w:rsid w:val="00576C3D"/>
    <w:rsid w:val="00577B7D"/>
    <w:rsid w:val="00580526"/>
    <w:rsid w:val="005820E5"/>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6E16"/>
    <w:rsid w:val="005A75EF"/>
    <w:rsid w:val="005B08F8"/>
    <w:rsid w:val="005B158A"/>
    <w:rsid w:val="005B2E59"/>
    <w:rsid w:val="005B32AB"/>
    <w:rsid w:val="005B40BA"/>
    <w:rsid w:val="005B4BDF"/>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59E1"/>
    <w:rsid w:val="005E755E"/>
    <w:rsid w:val="005E7CA8"/>
    <w:rsid w:val="005F1B7F"/>
    <w:rsid w:val="005F36E3"/>
    <w:rsid w:val="005F507C"/>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3C22"/>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5D44"/>
    <w:rsid w:val="00667A41"/>
    <w:rsid w:val="0067025F"/>
    <w:rsid w:val="00672C23"/>
    <w:rsid w:val="00673627"/>
    <w:rsid w:val="00674EA3"/>
    <w:rsid w:val="0067505E"/>
    <w:rsid w:val="006762DA"/>
    <w:rsid w:val="00677719"/>
    <w:rsid w:val="00681287"/>
    <w:rsid w:val="006830E1"/>
    <w:rsid w:val="00685C4F"/>
    <w:rsid w:val="00685D36"/>
    <w:rsid w:val="00686ABD"/>
    <w:rsid w:val="006905CD"/>
    <w:rsid w:val="00691173"/>
    <w:rsid w:val="00691AA4"/>
    <w:rsid w:val="00691BD5"/>
    <w:rsid w:val="00692DEB"/>
    <w:rsid w:val="00694EAF"/>
    <w:rsid w:val="006950BA"/>
    <w:rsid w:val="00695B77"/>
    <w:rsid w:val="00697153"/>
    <w:rsid w:val="006974AC"/>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0645"/>
    <w:rsid w:val="006E2AF9"/>
    <w:rsid w:val="006E4D74"/>
    <w:rsid w:val="006E4D81"/>
    <w:rsid w:val="006E7725"/>
    <w:rsid w:val="006F1186"/>
    <w:rsid w:val="006F4C79"/>
    <w:rsid w:val="006F692B"/>
    <w:rsid w:val="007012D9"/>
    <w:rsid w:val="00702036"/>
    <w:rsid w:val="007043D0"/>
    <w:rsid w:val="00704EE5"/>
    <w:rsid w:val="00705EAB"/>
    <w:rsid w:val="0070732D"/>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3A4B"/>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0E63"/>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4E09"/>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057"/>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1D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4623"/>
    <w:rsid w:val="00947E6D"/>
    <w:rsid w:val="00950739"/>
    <w:rsid w:val="009507AE"/>
    <w:rsid w:val="009507D8"/>
    <w:rsid w:val="00951ADE"/>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D0D"/>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1B1"/>
    <w:rsid w:val="00A25BB0"/>
    <w:rsid w:val="00A26D5A"/>
    <w:rsid w:val="00A30250"/>
    <w:rsid w:val="00A3196C"/>
    <w:rsid w:val="00A32DF3"/>
    <w:rsid w:val="00A36606"/>
    <w:rsid w:val="00A366EF"/>
    <w:rsid w:val="00A411C5"/>
    <w:rsid w:val="00A4179B"/>
    <w:rsid w:val="00A42F29"/>
    <w:rsid w:val="00A42F90"/>
    <w:rsid w:val="00A445AB"/>
    <w:rsid w:val="00A44B27"/>
    <w:rsid w:val="00A46744"/>
    <w:rsid w:val="00A47832"/>
    <w:rsid w:val="00A50996"/>
    <w:rsid w:val="00A50A25"/>
    <w:rsid w:val="00A521BC"/>
    <w:rsid w:val="00A52219"/>
    <w:rsid w:val="00A54FAC"/>
    <w:rsid w:val="00A56DEA"/>
    <w:rsid w:val="00A57538"/>
    <w:rsid w:val="00A604D3"/>
    <w:rsid w:val="00A607EE"/>
    <w:rsid w:val="00A617C1"/>
    <w:rsid w:val="00A61B57"/>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C7CBD"/>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DA7"/>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09F2"/>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53F"/>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4E58"/>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17FE"/>
    <w:rsid w:val="00C12679"/>
    <w:rsid w:val="00C127A7"/>
    <w:rsid w:val="00C12FB6"/>
    <w:rsid w:val="00C1511E"/>
    <w:rsid w:val="00C16047"/>
    <w:rsid w:val="00C20419"/>
    <w:rsid w:val="00C20FE3"/>
    <w:rsid w:val="00C2260F"/>
    <w:rsid w:val="00C23A80"/>
    <w:rsid w:val="00C23FDA"/>
    <w:rsid w:val="00C25DCF"/>
    <w:rsid w:val="00C25FDD"/>
    <w:rsid w:val="00C264EA"/>
    <w:rsid w:val="00C26541"/>
    <w:rsid w:val="00C40217"/>
    <w:rsid w:val="00C407FD"/>
    <w:rsid w:val="00C426D8"/>
    <w:rsid w:val="00C43831"/>
    <w:rsid w:val="00C459FD"/>
    <w:rsid w:val="00C45C9D"/>
    <w:rsid w:val="00C5295E"/>
    <w:rsid w:val="00C52BEB"/>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78E"/>
    <w:rsid w:val="00C92B39"/>
    <w:rsid w:val="00C934B3"/>
    <w:rsid w:val="00C94D4A"/>
    <w:rsid w:val="00C950E1"/>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B6C2E"/>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5D0"/>
    <w:rsid w:val="00D31BD1"/>
    <w:rsid w:val="00D323D0"/>
    <w:rsid w:val="00D3517D"/>
    <w:rsid w:val="00D358B2"/>
    <w:rsid w:val="00D35CA0"/>
    <w:rsid w:val="00D36693"/>
    <w:rsid w:val="00D402BA"/>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2CB0"/>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3FEE"/>
    <w:rsid w:val="00EE42D3"/>
    <w:rsid w:val="00EE483D"/>
    <w:rsid w:val="00EE4D5C"/>
    <w:rsid w:val="00EE4F89"/>
    <w:rsid w:val="00EE63E8"/>
    <w:rsid w:val="00EE655A"/>
    <w:rsid w:val="00EE6C6B"/>
    <w:rsid w:val="00EE7E27"/>
    <w:rsid w:val="00EF1207"/>
    <w:rsid w:val="00EF1751"/>
    <w:rsid w:val="00EF1C7D"/>
    <w:rsid w:val="00EF2CD7"/>
    <w:rsid w:val="00EF2FF6"/>
    <w:rsid w:val="00EF3CA4"/>
    <w:rsid w:val="00EF4B0F"/>
    <w:rsid w:val="00EF7205"/>
    <w:rsid w:val="00EF7A2B"/>
    <w:rsid w:val="00F001D3"/>
    <w:rsid w:val="00F038F6"/>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06CB"/>
    <w:rsid w:val="00FB1463"/>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2470"/>
    <w:rsid w:val="00FE3727"/>
    <w:rsid w:val="00FE5E16"/>
    <w:rsid w:val="00FE6D22"/>
    <w:rsid w:val="00FF23C6"/>
    <w:rsid w:val="00FF2DD5"/>
    <w:rsid w:val="00FF3153"/>
    <w:rsid w:val="00FF4169"/>
    <w:rsid w:val="00FF5E08"/>
    <w:rsid w:val="00FF76FA"/>
    <w:rsid w:val="00FF796F"/>
    <w:rsid w:val="00FF7D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E10421"/>
    <w:pPr>
      <w:spacing w:after="120"/>
    </w:pPr>
    <w:rPr>
      <w:sz w:val="16"/>
      <w:szCs w:val="16"/>
    </w:rPr>
  </w:style>
  <w:style w:type="character" w:customStyle="1" w:styleId="Textoindependiente3Car">
    <w:name w:val="Texto independiente 3 Car"/>
    <w:basedOn w:val="Fuentedeprrafopredeter"/>
    <w:link w:val="Textoindependiente3"/>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 w:type="numbering" w:customStyle="1" w:styleId="Sinlista2">
    <w:name w:val="Sin lista2"/>
    <w:next w:val="Sinlista"/>
    <w:uiPriority w:val="99"/>
    <w:semiHidden/>
    <w:unhideWhenUsed/>
    <w:rsid w:val="00CB6C2E"/>
  </w:style>
  <w:style w:type="table" w:customStyle="1" w:styleId="TableNormal1">
    <w:name w:val="Table Normal1"/>
    <w:rsid w:val="00CB6C2E"/>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paragraph" w:customStyle="1" w:styleId="p">
    <w:name w:val="p"/>
    <w:basedOn w:val="Normal"/>
    <w:rsid w:val="00CB6C2E"/>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CB6C2E"/>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basedOn w:val="Fuentedeprrafopredeter"/>
    <w:rsid w:val="00CB6C2E"/>
    <w:rPr>
      <w:color w:val="0000FF"/>
      <w:sz w:val="30"/>
      <w:szCs w:val="30"/>
    </w:rPr>
  </w:style>
  <w:style w:type="character" w:customStyle="1" w:styleId="d1">
    <w:name w:val="d1"/>
    <w:basedOn w:val="Fuentedeprrafopredeter"/>
    <w:rsid w:val="00CB6C2E"/>
    <w:rPr>
      <w:color w:val="0000FF"/>
    </w:rPr>
  </w:style>
  <w:style w:type="character" w:customStyle="1" w:styleId="b1">
    <w:name w:val="b1"/>
    <w:basedOn w:val="Fuentedeprrafopredeter"/>
    <w:rsid w:val="00CB6C2E"/>
    <w:rPr>
      <w:color w:val="000000"/>
    </w:rPr>
  </w:style>
  <w:style w:type="character" w:customStyle="1" w:styleId="caps">
    <w:name w:val="caps"/>
    <w:basedOn w:val="Fuentedeprrafopredeter"/>
    <w:rsid w:val="00CB6C2E"/>
  </w:style>
  <w:style w:type="paragraph" w:customStyle="1" w:styleId="Estilo">
    <w:name w:val="Estilo"/>
    <w:basedOn w:val="Sinespaciado"/>
    <w:link w:val="EstiloCar"/>
    <w:qFormat/>
    <w:rsid w:val="00CB6C2E"/>
    <w:pPr>
      <w:ind w:left="0" w:right="0" w:firstLine="0"/>
    </w:pPr>
    <w:rPr>
      <w:rFonts w:eastAsia="Cambria" w:cs="Times New Roman"/>
      <w:color w:val="auto"/>
      <w:lang w:eastAsia="en-US"/>
    </w:rPr>
  </w:style>
  <w:style w:type="paragraph" w:customStyle="1" w:styleId="Sinespaciado1">
    <w:name w:val="Sin espaciado1"/>
    <w:next w:val="Sinespaciado"/>
    <w:uiPriority w:val="1"/>
    <w:qFormat/>
    <w:rsid w:val="00CB6C2E"/>
    <w:pPr>
      <w:spacing w:after="0" w:line="240" w:lineRule="auto"/>
    </w:pPr>
    <w:rPr>
      <w:rFonts w:eastAsia="Cambria"/>
      <w:lang w:eastAsia="en-US"/>
    </w:rPr>
  </w:style>
  <w:style w:type="character" w:customStyle="1" w:styleId="EstiloCar">
    <w:name w:val="Estilo Car"/>
    <w:basedOn w:val="Fuentedeprrafopredeter"/>
    <w:link w:val="Estilo"/>
    <w:rsid w:val="00CB6C2E"/>
    <w:rPr>
      <w:rFonts w:ascii="Arial" w:eastAsia="Cambria" w:hAnsi="Arial" w:cs="Times New Roman"/>
      <w:sz w:val="24"/>
      <w:lang w:eastAsia="en-US"/>
    </w:rPr>
  </w:style>
  <w:style w:type="paragraph" w:customStyle="1" w:styleId="Textocomentario1">
    <w:name w:val="Texto comentario1"/>
    <w:basedOn w:val="Normal"/>
    <w:next w:val="Textocomentario"/>
    <w:link w:val="TextocomentarioCar"/>
    <w:uiPriority w:val="99"/>
    <w:unhideWhenUsed/>
    <w:rsid w:val="00CB6C2E"/>
    <w:pPr>
      <w:spacing w:after="160" w:line="240" w:lineRule="auto"/>
      <w:ind w:left="0" w:right="0" w:firstLine="0"/>
      <w:jc w:val="left"/>
    </w:pPr>
    <w:rPr>
      <w:rFonts w:ascii="Cambria" w:eastAsia="Cambria" w:hAnsi="Cambria" w:cs="Times New Roman"/>
      <w:color w:val="auto"/>
      <w:sz w:val="20"/>
      <w:szCs w:val="20"/>
      <w:lang w:eastAsia="en-US"/>
    </w:rPr>
  </w:style>
  <w:style w:type="character" w:customStyle="1" w:styleId="TextocomentarioCar">
    <w:name w:val="Texto comentario Car"/>
    <w:basedOn w:val="Fuentedeprrafopredeter"/>
    <w:link w:val="Textocomentario1"/>
    <w:uiPriority w:val="99"/>
    <w:rsid w:val="00CB6C2E"/>
    <w:rPr>
      <w:rFonts w:ascii="Cambria" w:eastAsia="Cambria" w:hAnsi="Cambria" w:cs="Times New Roman"/>
      <w:sz w:val="20"/>
      <w:szCs w:val="20"/>
      <w:lang w:val="es-MX" w:eastAsia="en-US"/>
    </w:rPr>
  </w:style>
  <w:style w:type="character" w:customStyle="1" w:styleId="AsuntodelcomentarioCar">
    <w:name w:val="Asunto del comentario Car"/>
    <w:basedOn w:val="TextocomentarioCar"/>
    <w:link w:val="Asuntodelcomentario"/>
    <w:uiPriority w:val="99"/>
    <w:semiHidden/>
    <w:rsid w:val="00CB6C2E"/>
    <w:rPr>
      <w:rFonts w:ascii="Cambria" w:eastAsia="Cambria" w:hAnsi="Cambria" w:cs="Times New Roman"/>
      <w:b/>
      <w:bCs/>
      <w:sz w:val="20"/>
      <w:szCs w:val="20"/>
      <w:lang w:val="es-MX" w:eastAsia="en-US"/>
    </w:rPr>
  </w:style>
  <w:style w:type="paragraph" w:customStyle="1" w:styleId="Asuntodelcomentario1">
    <w:name w:val="Asunto del comentario1"/>
    <w:basedOn w:val="Textocomentario"/>
    <w:next w:val="Textocomentario"/>
    <w:uiPriority w:val="99"/>
    <w:semiHidden/>
    <w:unhideWhenUsed/>
    <w:rsid w:val="00CB6C2E"/>
    <w:pPr>
      <w:spacing w:after="0"/>
      <w:ind w:left="0" w:right="0" w:firstLine="0"/>
      <w:jc w:val="left"/>
    </w:pPr>
    <w:rPr>
      <w:rFonts w:ascii="Cambria" w:eastAsia="Cambria" w:hAnsi="Cambria" w:cs="Times New Roman"/>
      <w:b/>
      <w:bCs/>
      <w:color w:val="auto"/>
      <w:lang w:eastAsia="en-US"/>
    </w:rPr>
  </w:style>
  <w:style w:type="character" w:customStyle="1" w:styleId="AsuntodelcomentarioCar1">
    <w:name w:val="Asunto del comentario Car1"/>
    <w:basedOn w:val="TextocomentarioCar"/>
    <w:uiPriority w:val="99"/>
    <w:semiHidden/>
    <w:rsid w:val="00CB6C2E"/>
    <w:rPr>
      <w:rFonts w:ascii="Cambria" w:eastAsia="Cambria" w:hAnsi="Cambria" w:cs="Times New Roman"/>
      <w:b/>
      <w:bCs/>
      <w:sz w:val="20"/>
      <w:szCs w:val="20"/>
      <w:lang w:val="es-MX" w:eastAsia="en-US"/>
    </w:rPr>
  </w:style>
  <w:style w:type="paragraph" w:customStyle="1" w:styleId="Cuerpo">
    <w:name w:val="Cuerpo"/>
    <w:basedOn w:val="Normal"/>
    <w:rsid w:val="00CB6C2E"/>
    <w:pPr>
      <w:spacing w:after="0" w:line="240" w:lineRule="auto"/>
      <w:ind w:left="0" w:right="0" w:firstLine="0"/>
    </w:pPr>
    <w:rPr>
      <w:rFonts w:eastAsia="Times New Roman" w:cs="Times New Roman"/>
      <w:color w:val="auto"/>
      <w:sz w:val="20"/>
      <w:szCs w:val="20"/>
      <w:lang w:val="es-ES" w:eastAsia="es-ES"/>
    </w:rPr>
  </w:style>
  <w:style w:type="character" w:customStyle="1" w:styleId="Ninguno">
    <w:name w:val="Ninguno"/>
    <w:rsid w:val="00CB6C2E"/>
  </w:style>
  <w:style w:type="character" w:customStyle="1" w:styleId="SangradetextonormalCar">
    <w:name w:val="Sangría de texto normal Car"/>
    <w:basedOn w:val="Fuentedeprrafopredeter"/>
    <w:link w:val="Sangradetextonormal"/>
    <w:uiPriority w:val="99"/>
    <w:semiHidden/>
    <w:rsid w:val="00CB6C2E"/>
    <w:rPr>
      <w:rFonts w:ascii="Cambria" w:eastAsia="Cambria" w:hAnsi="Cambria" w:cs="Times New Roman"/>
      <w:sz w:val="22"/>
      <w:szCs w:val="22"/>
      <w:lang w:val="es-MX" w:eastAsia="en-US"/>
    </w:rPr>
  </w:style>
  <w:style w:type="paragraph" w:customStyle="1" w:styleId="Sangradetextonormal1">
    <w:name w:val="Sangría de texto normal1"/>
    <w:basedOn w:val="Normal"/>
    <w:next w:val="Sangradetextonormal"/>
    <w:uiPriority w:val="99"/>
    <w:semiHidden/>
    <w:unhideWhenUsed/>
    <w:rsid w:val="00CB6C2E"/>
    <w:pPr>
      <w:spacing w:after="120" w:line="360" w:lineRule="auto"/>
      <w:ind w:left="283" w:right="0" w:firstLine="0"/>
      <w:jc w:val="left"/>
    </w:pPr>
    <w:rPr>
      <w:rFonts w:ascii="Cambria" w:eastAsia="Cambria" w:hAnsi="Cambria" w:cs="Times New Roman"/>
      <w:color w:val="auto"/>
      <w:sz w:val="22"/>
      <w:lang w:eastAsia="en-US"/>
    </w:rPr>
  </w:style>
  <w:style w:type="character" w:customStyle="1" w:styleId="SangradetextonormalCar1">
    <w:name w:val="Sangría de texto normal Car1"/>
    <w:basedOn w:val="Fuentedeprrafopredeter"/>
    <w:uiPriority w:val="99"/>
    <w:semiHidden/>
    <w:rsid w:val="00CB6C2E"/>
  </w:style>
  <w:style w:type="table" w:customStyle="1" w:styleId="15">
    <w:name w:val="15"/>
    <w:basedOn w:val="TableNormal"/>
    <w:rsid w:val="00CB6C2E"/>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CB6C2E"/>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CB6C2E"/>
    <w:pPr>
      <w:spacing w:after="0" w:line="360" w:lineRule="auto"/>
    </w:pPr>
    <w:tblPr>
      <w:tblStyleRowBandSize w:val="1"/>
      <w:tblStyleColBandSize w:val="1"/>
      <w:tblCellMar>
        <w:left w:w="115" w:type="dxa"/>
        <w:right w:w="115" w:type="dxa"/>
      </w:tblCellMar>
    </w:tblPr>
  </w:style>
  <w:style w:type="table" w:customStyle="1" w:styleId="12">
    <w:name w:val="12"/>
    <w:basedOn w:val="TableNormal"/>
    <w:rsid w:val="00CB6C2E"/>
    <w:pPr>
      <w:spacing w:after="0" w:line="360" w:lineRule="auto"/>
    </w:pPr>
    <w:tblPr>
      <w:tblStyleRowBandSize w:val="1"/>
      <w:tblStyleColBandSize w:val="1"/>
      <w:tblCellMar>
        <w:left w:w="115" w:type="dxa"/>
        <w:right w:w="115" w:type="dxa"/>
      </w:tblCellMar>
    </w:tblPr>
  </w:style>
  <w:style w:type="table" w:customStyle="1" w:styleId="11">
    <w:name w:val="11"/>
    <w:basedOn w:val="TableNormal"/>
    <w:rsid w:val="00CB6C2E"/>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CB6C2E"/>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CB6C2E"/>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CB6C2E"/>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CB6C2E"/>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CB6C2E"/>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CB6C2E"/>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CB6C2E"/>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CB6C2E"/>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CB6C2E"/>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CB6C2E"/>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CB6C2E"/>
    <w:pPr>
      <w:spacing w:after="0" w:line="240" w:lineRule="auto"/>
      <w:ind w:left="705" w:right="-3" w:hanging="10"/>
      <w:jc w:val="both"/>
    </w:pPr>
    <w:rPr>
      <w:rFonts w:ascii="Arial" w:eastAsia="Arial" w:hAnsi="Arial" w:cs="Arial"/>
      <w:color w:val="000000"/>
      <w:sz w:val="24"/>
    </w:rPr>
  </w:style>
  <w:style w:type="paragraph" w:styleId="Textocomentario">
    <w:name w:val="annotation text"/>
    <w:basedOn w:val="Normal"/>
    <w:link w:val="TextocomentarioCar1"/>
    <w:uiPriority w:val="99"/>
    <w:semiHidden/>
    <w:unhideWhenUsed/>
    <w:rsid w:val="00CB6C2E"/>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CB6C2E"/>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B6C2E"/>
    <w:rPr>
      <w:rFonts w:ascii="Cambria" w:eastAsia="Cambria" w:hAnsi="Cambria" w:cs="Times New Roman"/>
      <w:b/>
      <w:bCs/>
      <w:color w:val="auto"/>
      <w:lang w:eastAsia="en-US"/>
    </w:rPr>
  </w:style>
  <w:style w:type="character" w:customStyle="1" w:styleId="AsuntodelcomentarioCar2">
    <w:name w:val="Asunto del comentario Car2"/>
    <w:basedOn w:val="TextocomentarioCar1"/>
    <w:uiPriority w:val="99"/>
    <w:semiHidden/>
    <w:rsid w:val="00CB6C2E"/>
    <w:rPr>
      <w:rFonts w:ascii="Arial" w:eastAsia="Arial" w:hAnsi="Arial" w:cs="Arial"/>
      <w:b/>
      <w:bCs/>
      <w:color w:val="000000"/>
      <w:sz w:val="20"/>
      <w:szCs w:val="20"/>
    </w:rPr>
  </w:style>
  <w:style w:type="paragraph" w:styleId="Sangradetextonormal">
    <w:name w:val="Body Text Indent"/>
    <w:basedOn w:val="Normal"/>
    <w:link w:val="SangradetextonormalCar"/>
    <w:uiPriority w:val="99"/>
    <w:semiHidden/>
    <w:unhideWhenUsed/>
    <w:rsid w:val="00CB6C2E"/>
    <w:pPr>
      <w:spacing w:after="120"/>
      <w:ind w:left="283"/>
    </w:pPr>
    <w:rPr>
      <w:rFonts w:ascii="Cambria" w:eastAsia="Cambria" w:hAnsi="Cambria" w:cs="Times New Roman"/>
      <w:color w:val="auto"/>
      <w:sz w:val="22"/>
      <w:lang w:eastAsia="en-US"/>
    </w:rPr>
  </w:style>
  <w:style w:type="character" w:customStyle="1" w:styleId="SangradetextonormalCar2">
    <w:name w:val="Sangría de texto normal Car2"/>
    <w:basedOn w:val="Fuentedeprrafopredeter"/>
    <w:uiPriority w:val="99"/>
    <w:semiHidden/>
    <w:rsid w:val="00CB6C2E"/>
    <w:rPr>
      <w:rFonts w:ascii="Arial" w:eastAsia="Arial" w:hAnsi="Arial" w:cs="Arial"/>
      <w:color w:val="000000"/>
      <w:sz w:val="24"/>
    </w:rPr>
  </w:style>
  <w:style w:type="table" w:customStyle="1" w:styleId="Tablaconcuadrcula2">
    <w:name w:val="Tabla con cuadrícula2"/>
    <w:basedOn w:val="Tablanormal"/>
    <w:next w:val="Tablaconcuadrcula"/>
    <w:uiPriority w:val="59"/>
    <w:rsid w:val="0007113A"/>
    <w:pPr>
      <w:widowControl w:val="0"/>
      <w:autoSpaceDE w:val="0"/>
      <w:autoSpaceDN w:val="0"/>
      <w:spacing w:after="0" w:line="240" w:lineRule="auto"/>
    </w:pPr>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7113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BC44-06D6-4C7E-A90B-AA92589E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2236</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PC</cp:lastModifiedBy>
  <cp:revision>62</cp:revision>
  <cp:lastPrinted>2022-06-07T17:45:00Z</cp:lastPrinted>
  <dcterms:created xsi:type="dcterms:W3CDTF">2022-05-31T14:36:00Z</dcterms:created>
  <dcterms:modified xsi:type="dcterms:W3CDTF">2022-06-29T18:15:00Z</dcterms:modified>
</cp:coreProperties>
</file>